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  <w:lang w:eastAsia="zh-CN"/>
        </w:rPr>
      </w:pPr>
      <w:r>
        <w:rPr>
          <w:rFonts w:hint="eastAsia" w:ascii="黑体" w:hAnsi="黑体" w:eastAsia="黑体"/>
          <w:color w:val="000000"/>
          <w:sz w:val="52"/>
          <w:szCs w:val="52"/>
          <w:lang w:eastAsia="zh-CN"/>
        </w:rPr>
        <w:t>洛阳市老城公证处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  <w:r>
        <w:rPr>
          <w:rFonts w:hint="eastAsia" w:ascii="黑体" w:hAnsi="黑体" w:eastAsia="黑体"/>
          <w:color w:val="000000"/>
          <w:sz w:val="52"/>
          <w:szCs w:val="52"/>
          <w:lang w:val="en-US" w:eastAsia="zh-CN"/>
        </w:rPr>
        <w:t>2020</w:t>
      </w:r>
      <w:r>
        <w:rPr>
          <w:rFonts w:hint="eastAsia" w:ascii="黑体" w:hAnsi="黑体" w:eastAsia="黑体"/>
          <w:color w:val="000000"/>
          <w:sz w:val="52"/>
          <w:szCs w:val="52"/>
        </w:rPr>
        <w:t>年度部门预算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方正小标宋简体" w:eastAsia="黑体" w:cs="方正小标宋简体"/>
          <w:color w:val="000000"/>
          <w:sz w:val="44"/>
          <w:szCs w:val="44"/>
        </w:rPr>
      </w:pP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二○</w:t>
      </w:r>
      <w:r>
        <w:rPr>
          <w:rFonts w:hint="eastAsia" w:ascii="黑体" w:hAnsi="方正小标宋简体" w:eastAsia="黑体" w:cs="方正小标宋简体"/>
          <w:color w:val="000000"/>
          <w:sz w:val="32"/>
          <w:szCs w:val="32"/>
          <w:lang w:eastAsia="zh-CN"/>
        </w:rPr>
        <w:t>二</w:t>
      </w: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○年</w:t>
      </w:r>
      <w:r>
        <w:rPr>
          <w:rFonts w:hint="eastAsia" w:ascii="黑体" w:hAnsi="方正小标宋简体" w:eastAsia="黑体" w:cs="方正小标宋简体"/>
          <w:color w:val="000000"/>
          <w:sz w:val="32"/>
          <w:szCs w:val="32"/>
          <w:lang w:eastAsia="zh-CN"/>
        </w:rPr>
        <w:t>六</w:t>
      </w: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月</w:t>
      </w: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color w:val="000000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目</w:t>
      </w:r>
      <w:r>
        <w:rPr>
          <w:rFonts w:hint="eastAsia" w:ascii="方正小标宋简体" w:hAnsi="仿宋_GB2312" w:eastAsia="方正小标宋简体" w:cs="仿宋_GB2312"/>
          <w:color w:val="000000"/>
          <w:spacing w:val="2"/>
          <w:sz w:val="44"/>
          <w:szCs w:val="44"/>
        </w:rPr>
        <w:t xml:space="preserve"> </w:t>
      </w: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第二部分 洛阳市老城公证处2020年部门预算情况说明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  <w:highlight w:val="none"/>
          <w:lang w:eastAsia="zh-CN"/>
        </w:rPr>
        <w:t>洛阳市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老城公证处2020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六、一般公共预算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default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1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adjustRightInd w:val="0"/>
        <w:snapToGrid w:val="0"/>
        <w:spacing w:line="580" w:lineRule="exact"/>
        <w:ind w:firstLine="3744" w:firstLineChars="1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第一部分</w:t>
      </w:r>
    </w:p>
    <w:p>
      <w:pPr>
        <w:adjustRightInd w:val="0"/>
        <w:snapToGrid w:val="0"/>
        <w:spacing w:line="580" w:lineRule="exact"/>
        <w:jc w:val="center"/>
        <w:rPr>
          <w:rFonts w:hint="eastAsia" w:ascii="黑体" w:hAnsi="仿宋_GB2312" w:eastAsia="黑体" w:cs="仿宋_GB2312"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eastAsia="zh-CN"/>
        </w:rPr>
        <w:t>洛阳市老城公证处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概况</w:t>
      </w:r>
    </w:p>
    <w:p>
      <w:pPr>
        <w:adjustRightInd w:val="0"/>
        <w:snapToGrid w:val="0"/>
        <w:spacing w:line="580" w:lineRule="exact"/>
        <w:ind w:firstLine="624" w:firstLineChars="20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黑体" w:hAnsi="仿宋_GB2312" w:eastAsia="黑体" w:cs="仿宋_GB2312"/>
          <w:color w:val="000000"/>
          <w:sz w:val="32"/>
          <w:szCs w:val="32"/>
        </w:rPr>
      </w:pPr>
      <w:r>
        <w:rPr>
          <w:rFonts w:hint="eastAsia" w:ascii="黑体" w:hAnsi="仿宋_GB2312" w:eastAsia="黑体" w:cs="仿宋_GB2312"/>
          <w:color w:val="000000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机构设置情况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580" w:lineRule="exact"/>
        <w:ind w:right="3569" w:firstLine="936" w:firstLineChars="3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  <w:t>洛阳市老城公证处无内设机构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580" w:lineRule="exact"/>
        <w:ind w:left="0" w:leftChars="0" w:right="3569" w:firstLine="624" w:firstLineChars="2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部门职责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240" w:lineRule="auto"/>
        <w:ind w:leftChars="0" w:right="0" w:firstLine="936" w:firstLineChars="3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工作职责：办理国内民事、经济、公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  <w:t>证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事项</w:t>
      </w:r>
    </w:p>
    <w:p>
      <w:pPr>
        <w:numPr>
          <w:ilvl w:val="0"/>
          <w:numId w:val="0"/>
        </w:numPr>
        <w:tabs>
          <w:tab w:val="left" w:pos="5226"/>
          <w:tab w:val="left" w:pos="9040"/>
        </w:tabs>
        <w:kinsoku w:val="0"/>
        <w:overflowPunct w:val="0"/>
        <w:adjustRightInd w:val="0"/>
        <w:snapToGrid w:val="0"/>
        <w:spacing w:line="580" w:lineRule="exact"/>
        <w:ind w:leftChars="200" w:right="-196"/>
        <w:jc w:val="left"/>
        <w:outlineLvl w:val="0"/>
        <w:rPr>
          <w:rFonts w:hint="eastAsia" w:ascii="黑体" w:hAnsi="仿宋_GB2312" w:eastAsia="黑体" w:cs="仿宋_GB2312"/>
          <w:color w:val="000000"/>
          <w:sz w:val="32"/>
          <w:szCs w:val="32"/>
        </w:rPr>
      </w:pPr>
      <w:r>
        <w:rPr>
          <w:rFonts w:hint="eastAsia" w:ascii="黑体" w:hAnsi="仿宋_GB2312" w:eastAsia="黑体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仿宋_GB2312" w:eastAsia="黑体" w:cs="仿宋_GB2312"/>
          <w:color w:val="000000"/>
          <w:sz w:val="32"/>
          <w:szCs w:val="32"/>
          <w:lang w:eastAsia="zh-CN"/>
        </w:rPr>
        <w:t>二、洛阳市老城公证处</w:t>
      </w:r>
      <w:r>
        <w:rPr>
          <w:rFonts w:hint="eastAsia" w:ascii="黑体" w:hAnsi="仿宋_GB2312" w:eastAsia="黑体" w:cs="仿宋_GB2312"/>
          <w:color w:val="000000"/>
          <w:sz w:val="32"/>
          <w:szCs w:val="32"/>
        </w:rPr>
        <w:t>预算单位构成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580" w:lineRule="exact"/>
        <w:ind w:right="3569" w:firstLine="936" w:firstLineChars="3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  <w:t>公证处是本级预算的单位</w:t>
      </w: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第二部分</w:t>
      </w: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eastAsia="zh-CN"/>
        </w:rPr>
        <w:t>洛阳市老城公证处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val="en-US" w:eastAsia="zh-CN"/>
        </w:rPr>
        <w:t>2020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年度部门预算情况说明</w:t>
      </w:r>
    </w:p>
    <w:p>
      <w:pPr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一、</w:t>
      </w: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</w:rPr>
        <w:t>收入支出预算总体情况说明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老城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区公证处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2020年收入预算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95.57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万元，支出预算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95.57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万元，与2019年相比，收、支总计各增加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4.34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，主要原因：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是发放奖金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洛阳市老城公证处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年收入合计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95.57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万元，其中：一般公共预算收入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95.57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万元; 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行政事业性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收入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万元。 </w:t>
      </w:r>
    </w:p>
    <w:p>
      <w:pPr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三、支出预算总体情况说明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洛阳市老城公证处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年支出合计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95.57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万元，其中：基本支出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65.57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68.6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%；项目支出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31.4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 xml:space="preserve">%。 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四、财政拨款收入支出预算总体况说明</w:t>
      </w:r>
    </w:p>
    <w:p>
      <w:pPr>
        <w:spacing w:line="580" w:lineRule="exact"/>
        <w:ind w:firstLine="624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洛阳市老城公证处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95.57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年相比，一般公共预算收支预算增加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4.34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万元，增长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4.8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%，主要原因： 发放奖金。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五、一般公共预算支出预算情况说明</w:t>
      </w:r>
    </w:p>
    <w:p>
      <w:pPr>
        <w:widowControl/>
        <w:spacing w:line="580" w:lineRule="exact"/>
        <w:ind w:firstLine="62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洛阳市老城公证处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年一般公共预算支出年初预算为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95.57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万元。主要用于以下方面：一般公共服务支出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95.57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%。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六、一般公共预算基本支出预算情况说明</w:t>
      </w:r>
    </w:p>
    <w:p>
      <w:pPr>
        <w:widowControl/>
        <w:spacing w:line="580" w:lineRule="exact"/>
        <w:ind w:firstLine="62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洛阳市老城公证处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65.57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  <w:lang w:val="en-US" w:eastAsia="zh-CN"/>
        </w:rPr>
        <w:t>63.88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基本工资、津贴补贴、奖金、绩效工资、机关事业单位基本养老保险缴费、职业年金缴费、医疗保险缴费、其他社会保障缴费、住房公积金、退休费、其他对个人和家庭的补助支出；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1.69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主要包括：办公费、印刷费、咨询费、手续费、邮电费、、差旅费、维修（护）费、租赁费、会议费、培训费、公务接待费、专用材料费、、劳务费、委托业务费、福利费、其他交通费用、、其他商品和服务支出。</w:t>
      </w:r>
    </w:p>
    <w:p>
      <w:pPr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七、政府性基金预算支出预算情况说明</w:t>
      </w:r>
    </w:p>
    <w:p>
      <w:pPr>
        <w:spacing w:line="580" w:lineRule="exact"/>
        <w:ind w:firstLine="624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年没有使用政府性基金预算拨款安排的支出。</w:t>
      </w:r>
    </w:p>
    <w:p>
      <w:pPr>
        <w:spacing w:line="580" w:lineRule="exact"/>
        <w:ind w:firstLine="624" w:firstLineChars="200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</w:t>
      </w: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国有资本经营预算支出预算情况说明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年没有使用国有资本经营预算拨款安排的支出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九、“三公”经费支出预算情况说明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洛阳市老城公证处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年“三公”经费预算为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 xml:space="preserve"> 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万元。预算数比201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，原因：单位无因公出国。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元。其中公务车辆购置费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万元，比201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公务用车运行维护费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，比201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万元，较上年下降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，原因：单位无公车。</w:t>
      </w:r>
    </w:p>
    <w:p>
      <w:pPr>
        <w:spacing w:line="58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（三）公务接待费</w:t>
      </w: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比201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年预算数减少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，原因：单位无公务接待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color w:val="000000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年我单位机关运行经费预算为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1.69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万元。主要保障机关机构正常运转及正常履职需要的办公费、水电费、物业费、维修费、差旅费等支出，比201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0.12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7.64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保障公证业务量增加的需求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（三）关于预算绩效管理工作开展情况说明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2020年预算项目均按要求编制了绩效目标，综合反映项目预期完成的数量、质量、时效、成本，预期达到的经济效益、社会效益、生态效益、可持续发展影响及服务对象满意度等情况。</w:t>
      </w:r>
    </w:p>
    <w:p>
      <w:pPr>
        <w:spacing w:line="580" w:lineRule="exact"/>
        <w:ind w:left="404" w:leftChars="200"/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洛阳市老城公证处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固定资产总额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11.54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万元，其中，房屋建筑物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</w:p>
    <w:p>
      <w:pPr>
        <w:widowControl/>
        <w:spacing w:line="580" w:lineRule="exact"/>
        <w:ind w:firstLine="624" w:firstLineChars="20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年我单位按照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财政预算公开要求，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本部门预算收支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全部纳入预算公开范围。</w:t>
      </w:r>
    </w:p>
    <w:p>
      <w:pPr>
        <w:adjustRightInd w:val="0"/>
        <w:snapToGrid w:val="0"/>
        <w:spacing w:line="580" w:lineRule="exact"/>
        <w:jc w:val="center"/>
        <w:rPr>
          <w:rFonts w:hint="eastAsia" w:ascii="黑体" w:hAnsi="黑体" w:eastAsia="黑体"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36"/>
          <w:szCs w:val="36"/>
        </w:rPr>
        <w:t>第三部分 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八、其他（专业性较强的需向社会做出说明的名词）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老城区公证处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2019年度部门预算表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highlight w:val="magent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adjustRightInd w:val="0"/>
        <w:snapToGrid w:val="0"/>
        <w:spacing w:line="580" w:lineRule="exact"/>
        <w:ind w:firstLine="3778" w:firstLineChars="187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31" w:bottom="1758" w:left="1531" w:header="851" w:footer="1191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7"/>
    <w:multiLevelType w:val="singleLevel"/>
    <w:tmpl w:val="00000007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00000008"/>
    <w:multiLevelType w:val="singleLevel"/>
    <w:tmpl w:val="00000008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B8820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2019-12-08T19:13:00Z</dcterms:created>
  <dc:creator>Administrator</dc:creator>
  <cp:lastModifiedBy>Administrator</cp:lastModifiedBy>
  <dcterms:modified xsi:type="dcterms:W3CDTF">2021-06-17T10:51:49Z</dcterms:modified>
  <dc:title>LIJUN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