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洛阳市老城区国库支付中心部门决算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pPr>
      <w:r>
        <w:rPr>
          <w:rFonts w:hint="eastAsia" w:ascii="黑体" w:hAnsi="黑体" w:eastAsia="黑体" w:cs="黑体"/>
          <w:sz w:val="32"/>
          <w:szCs w:val="32"/>
        </w:rPr>
        <w:t>二〇二一年九月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洛阳市老城区国库支付中心概况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黑体" w:hAnsi="黑体" w:eastAsia="黑体" w:cs="黑体"/>
          <w:sz w:val="32"/>
          <w:szCs w:val="32"/>
        </w:rPr>
      </w:pPr>
      <w:r>
        <w:rPr>
          <w:rFonts w:hint="eastAsia" w:ascii="宋体" w:hAnsi="宋体" w:cs="宋体"/>
          <w:sz w:val="32"/>
          <w:szCs w:val="32"/>
        </w:rPr>
        <w:t>十二、国有资产占用情况说明</w:t>
      </w:r>
    </w:p>
    <w:p>
      <w:pPr>
        <w:jc w:val="left"/>
        <w:rPr>
          <w:rFonts w:ascii="宋体" w:hAnsi="宋体" w:cs="宋体"/>
          <w:sz w:val="32"/>
          <w:szCs w:val="32"/>
        </w:rPr>
      </w:pPr>
      <w:r>
        <w:rPr>
          <w:rFonts w:hint="eastAsia" w:ascii="黑体" w:hAnsi="黑体" w:eastAsia="黑体" w:cs="黑体"/>
          <w:sz w:val="32"/>
          <w:szCs w:val="32"/>
        </w:rPr>
        <w:t>第四部分　　名词解释</w:t>
      </w: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洛阳市老城区国库支付中心概况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1、加强集中支付资金的监督和管理，规范行政事业单位财政资金支付行为。</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2、负责办理各单位资金集中支付，保证各单位合理支出需要，确保各单位工作正常运转。</w:t>
      </w:r>
    </w:p>
    <w:p>
      <w:pPr>
        <w:widowControl/>
        <w:ind w:firstLine="320" w:firstLineChars="1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3、加强账户统管，配合国库股合理调度资金，对行政事业单位预算内外资金实行集中支付。</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老城区会计核算中心是隶属于区财政局的下属事业单位。</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本决算为汇总决算，纳入本部门2020年度部门决算编制范围的单位共1个。</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r>
        <w:br w:type="page"/>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sectPr>
          <w:pgSz w:w="11906" w:h="16838"/>
          <w:pgMar w:top="1440" w:right="1800" w:bottom="1440" w:left="1800" w:header="851" w:footer="992" w:gutter="0"/>
          <w:cols w:space="425" w:num="1"/>
          <w:docGrid w:type="lines" w:linePitch="312" w:charSpace="0"/>
        </w:sectPr>
      </w:pPr>
    </w:p>
    <w:p>
      <w:pPr>
        <w:widowControl/>
        <w:jc w:val="left"/>
      </w:pPr>
    </w:p>
    <w:p>
      <w:pPr>
        <w:widowControl/>
        <w:jc w:val="left"/>
      </w:pPr>
    </w:p>
    <w:p>
      <w:pPr>
        <w:widowControl/>
        <w:jc w:val="left"/>
      </w:pPr>
    </w:p>
    <w:p/>
    <w:tbl>
      <w:tblPr>
        <w:tblStyle w:val="5"/>
        <w:tblW w:w="14038" w:type="dxa"/>
        <w:tblInd w:w="93" w:type="dxa"/>
        <w:tblLayout w:type="fixed"/>
        <w:tblCellMar>
          <w:top w:w="0" w:type="dxa"/>
          <w:left w:w="108" w:type="dxa"/>
          <w:bottom w:w="0" w:type="dxa"/>
          <w:right w:w="108" w:type="dxa"/>
        </w:tblCellMar>
      </w:tblPr>
      <w:tblGrid>
        <w:gridCol w:w="4207"/>
        <w:gridCol w:w="563"/>
        <w:gridCol w:w="2249"/>
        <w:gridCol w:w="4207"/>
        <w:gridCol w:w="563"/>
        <w:gridCol w:w="2249"/>
      </w:tblGrid>
      <w:tr>
        <w:tblPrEx>
          <w:tblLayout w:type="fixed"/>
          <w:tblCellMar>
            <w:top w:w="0" w:type="dxa"/>
            <w:left w:w="108" w:type="dxa"/>
            <w:bottom w:w="0" w:type="dxa"/>
            <w:right w:w="108" w:type="dxa"/>
          </w:tblCellMar>
        </w:tblPrEx>
        <w:trPr>
          <w:trHeight w:val="364" w:hRule="atLeast"/>
        </w:trPr>
        <w:tc>
          <w:tcPr>
            <w:tcW w:w="42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45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r>
              <w:rPr>
                <w:rFonts w:hint="eastAsia" w:ascii="宋体" w:hAnsi="宋体" w:eastAsia="宋体" w:cs="Arial"/>
                <w:color w:val="000000"/>
                <w:kern w:val="0"/>
                <w:sz w:val="30"/>
                <w:szCs w:val="30"/>
              </w:rPr>
              <w:t>收入支出决算总表</w:t>
            </w:r>
          </w:p>
        </w:tc>
        <w:tc>
          <w:tcPr>
            <w:tcW w:w="5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4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Layout w:type="fixed"/>
          <w:tblCellMar>
            <w:top w:w="0" w:type="dxa"/>
            <w:left w:w="108" w:type="dxa"/>
            <w:bottom w:w="0" w:type="dxa"/>
            <w:right w:w="108" w:type="dxa"/>
          </w:tblCellMar>
        </w:tblPrEx>
        <w:trPr>
          <w:trHeight w:val="250" w:hRule="atLeast"/>
        </w:trPr>
        <w:tc>
          <w:tcPr>
            <w:tcW w:w="42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4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4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Layout w:type="fixed"/>
          <w:tblCellMar>
            <w:top w:w="0" w:type="dxa"/>
            <w:left w:w="108" w:type="dxa"/>
            <w:bottom w:w="0" w:type="dxa"/>
            <w:right w:w="108" w:type="dxa"/>
          </w:tblCellMar>
        </w:tblPrEx>
        <w:trPr>
          <w:trHeight w:val="250" w:hRule="atLeast"/>
        </w:trPr>
        <w:tc>
          <w:tcPr>
            <w:tcW w:w="4207"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部门：洛阳市老城区会计核算中心</w:t>
            </w:r>
          </w:p>
        </w:tc>
        <w:tc>
          <w:tcPr>
            <w:tcW w:w="5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4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4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93" w:hRule="atLeast"/>
        </w:trPr>
        <w:tc>
          <w:tcPr>
            <w:tcW w:w="701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019"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24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24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24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24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357.02</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293" w:hRule="atLeast"/>
        </w:trPr>
        <w:tc>
          <w:tcPr>
            <w:tcW w:w="420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63"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420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6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22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r>
      <w:tr>
        <w:tblPrEx>
          <w:tblLayout w:type="fixed"/>
          <w:tblCellMar>
            <w:top w:w="0" w:type="dxa"/>
            <w:left w:w="108" w:type="dxa"/>
            <w:bottom w:w="0" w:type="dxa"/>
            <w:right w:w="108" w:type="dxa"/>
          </w:tblCellMar>
        </w:tblPrEx>
        <w:trPr>
          <w:trHeight w:val="293" w:hRule="atLeast"/>
        </w:trPr>
        <w:tc>
          <w:tcPr>
            <w:tcW w:w="14038"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注：本表反映部门本年度的总收支和年末结转结余情况。本套报表金额单位转换时可能存在尾数误差。</w:t>
            </w: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c>
      </w:tr>
    </w:tbl>
    <w:p>
      <w:pPr>
        <w:widowControl/>
        <w:jc w:val="left"/>
      </w:pPr>
      <w:r>
        <w:br w:type="page"/>
      </w:r>
    </w:p>
    <w:tbl>
      <w:tblPr>
        <w:tblStyle w:val="5"/>
        <w:tblpPr w:leftFromText="180" w:rightFromText="180" w:vertAnchor="page" w:horzAnchor="margin" w:tblpY="1966"/>
        <w:tblW w:w="13994" w:type="dxa"/>
        <w:tblInd w:w="0" w:type="dxa"/>
        <w:tblLayout w:type="fixed"/>
        <w:tblCellMar>
          <w:top w:w="0" w:type="dxa"/>
          <w:left w:w="108" w:type="dxa"/>
          <w:bottom w:w="0" w:type="dxa"/>
          <w:right w:w="108" w:type="dxa"/>
        </w:tblCellMar>
      </w:tblPr>
      <w:tblGrid>
        <w:gridCol w:w="391"/>
        <w:gridCol w:w="390"/>
        <w:gridCol w:w="392"/>
        <w:gridCol w:w="3060"/>
        <w:gridCol w:w="1394"/>
        <w:gridCol w:w="1394"/>
        <w:gridCol w:w="1394"/>
        <w:gridCol w:w="1394"/>
        <w:gridCol w:w="1394"/>
        <w:gridCol w:w="1394"/>
        <w:gridCol w:w="1397"/>
      </w:tblGrid>
      <w:tr>
        <w:tblPrEx>
          <w:tblLayout w:type="fixed"/>
          <w:tblCellMar>
            <w:top w:w="0" w:type="dxa"/>
            <w:left w:w="108" w:type="dxa"/>
            <w:bottom w:w="0" w:type="dxa"/>
            <w:right w:w="108" w:type="dxa"/>
          </w:tblCellMar>
        </w:tblPrEx>
        <w:trPr>
          <w:trHeight w:val="275" w:hRule="atLeast"/>
        </w:trPr>
        <w:tc>
          <w:tcPr>
            <w:tcW w:w="39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0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973" w:type="dxa"/>
            <w:gridSpan w:val="5"/>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r>
              <w:rPr>
                <w:rFonts w:hint="eastAsia" w:ascii="宋体" w:hAnsi="宋体" w:eastAsia="宋体" w:cs="Arial"/>
                <w:color w:val="000000"/>
                <w:kern w:val="0"/>
                <w:sz w:val="30"/>
                <w:szCs w:val="30"/>
              </w:rPr>
              <w:t>收入决算表</w:t>
            </w:r>
          </w:p>
        </w:tc>
      </w:tr>
      <w:tr>
        <w:tblPrEx>
          <w:tblLayout w:type="fixed"/>
          <w:tblCellMar>
            <w:top w:w="0" w:type="dxa"/>
            <w:left w:w="108" w:type="dxa"/>
            <w:bottom w:w="0" w:type="dxa"/>
            <w:right w:w="108" w:type="dxa"/>
          </w:tblCellMar>
        </w:tblPrEx>
        <w:trPr>
          <w:trHeight w:val="189" w:hRule="atLeast"/>
        </w:trPr>
        <w:tc>
          <w:tcPr>
            <w:tcW w:w="39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0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Layout w:type="fixed"/>
          <w:tblCellMar>
            <w:top w:w="0" w:type="dxa"/>
            <w:left w:w="108" w:type="dxa"/>
            <w:bottom w:w="0" w:type="dxa"/>
            <w:right w:w="108" w:type="dxa"/>
          </w:tblCellMar>
        </w:tblPrEx>
        <w:trPr>
          <w:trHeight w:val="189" w:hRule="atLeast"/>
        </w:trPr>
        <w:tc>
          <w:tcPr>
            <w:tcW w:w="4233" w:type="dxa"/>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部门：洛阳市老城区会计核算中心</w:t>
            </w: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91" w:type="dxa"/>
            <w:gridSpan w:val="2"/>
            <w:tcBorders>
              <w:top w:val="nil"/>
              <w:left w:val="nil"/>
              <w:bottom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19" w:hRule="atLeast"/>
        </w:trPr>
        <w:tc>
          <w:tcPr>
            <w:tcW w:w="423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39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39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39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39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39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39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39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Layout w:type="fixed"/>
          <w:tblCellMar>
            <w:top w:w="0" w:type="dxa"/>
            <w:left w:w="108" w:type="dxa"/>
            <w:bottom w:w="0" w:type="dxa"/>
            <w:right w:w="108" w:type="dxa"/>
          </w:tblCellMar>
        </w:tblPrEx>
        <w:trPr>
          <w:trHeight w:val="312" w:hRule="atLeast"/>
        </w:trPr>
        <w:tc>
          <w:tcPr>
            <w:tcW w:w="117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06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117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0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117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0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219" w:hRule="atLeast"/>
        </w:trPr>
        <w:tc>
          <w:tcPr>
            <w:tcW w:w="4233"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39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39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9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39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39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39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39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Layout w:type="fixed"/>
          <w:tblCellMar>
            <w:top w:w="0" w:type="dxa"/>
            <w:left w:w="108" w:type="dxa"/>
            <w:bottom w:w="0" w:type="dxa"/>
            <w:right w:w="108" w:type="dxa"/>
          </w:tblCellMar>
        </w:tblPrEx>
        <w:trPr>
          <w:trHeight w:val="219" w:hRule="atLeast"/>
        </w:trPr>
        <w:tc>
          <w:tcPr>
            <w:tcW w:w="4233"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406.97</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406.97</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357.02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357.02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357.02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357.02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46.79</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46.79</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2010605</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财政国库业务</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259.31</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259.31</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2010607</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信息化建设</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2010608</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财政委托业务支出</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43.23</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43.23</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2080501</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行政单位离退休</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5.69</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5.69</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2080502</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事业单位离退休</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0.87</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0.87</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17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30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19" w:hRule="atLeast"/>
        </w:trPr>
        <w:tc>
          <w:tcPr>
            <w:tcW w:w="13994" w:type="dxa"/>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widowControl/>
        <w:jc w:val="left"/>
      </w:pPr>
      <w:r>
        <w:br w:type="page"/>
      </w:r>
    </w:p>
    <w:tbl>
      <w:tblPr>
        <w:tblStyle w:val="5"/>
        <w:tblW w:w="14081" w:type="dxa"/>
        <w:tblInd w:w="93" w:type="dxa"/>
        <w:tblLayout w:type="fixed"/>
        <w:tblCellMar>
          <w:top w:w="0" w:type="dxa"/>
          <w:left w:w="108" w:type="dxa"/>
          <w:bottom w:w="0" w:type="dxa"/>
          <w:right w:w="108" w:type="dxa"/>
        </w:tblCellMar>
      </w:tblPr>
      <w:tblGrid>
        <w:gridCol w:w="328"/>
        <w:gridCol w:w="328"/>
        <w:gridCol w:w="329"/>
        <w:gridCol w:w="3508"/>
        <w:gridCol w:w="1598"/>
        <w:gridCol w:w="1598"/>
        <w:gridCol w:w="1598"/>
        <w:gridCol w:w="1598"/>
        <w:gridCol w:w="1598"/>
        <w:gridCol w:w="1598"/>
      </w:tblGrid>
      <w:tr>
        <w:tblPrEx>
          <w:tblLayout w:type="fixed"/>
          <w:tblCellMar>
            <w:top w:w="0" w:type="dxa"/>
            <w:left w:w="108" w:type="dxa"/>
            <w:bottom w:w="0" w:type="dxa"/>
            <w:right w:w="108" w:type="dxa"/>
          </w:tblCellMar>
        </w:tblPrEx>
        <w:trPr>
          <w:trHeight w:val="368" w:hRule="atLeast"/>
        </w:trPr>
        <w:tc>
          <w:tcPr>
            <w:tcW w:w="3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5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90" w:type="dxa"/>
            <w:gridSpan w:val="5"/>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r>
              <w:rPr>
                <w:rFonts w:hint="eastAsia" w:ascii="宋体" w:hAnsi="宋体" w:eastAsia="宋体" w:cs="Arial"/>
                <w:color w:val="000000"/>
                <w:kern w:val="0"/>
                <w:sz w:val="30"/>
                <w:szCs w:val="30"/>
              </w:rPr>
              <w:t>支出决算表</w:t>
            </w:r>
          </w:p>
        </w:tc>
      </w:tr>
      <w:tr>
        <w:tblPrEx>
          <w:tblLayout w:type="fixed"/>
          <w:tblCellMar>
            <w:top w:w="0" w:type="dxa"/>
            <w:left w:w="108" w:type="dxa"/>
            <w:bottom w:w="0" w:type="dxa"/>
            <w:right w:w="108" w:type="dxa"/>
          </w:tblCellMar>
        </w:tblPrEx>
        <w:trPr>
          <w:trHeight w:val="253" w:hRule="atLeast"/>
        </w:trPr>
        <w:tc>
          <w:tcPr>
            <w:tcW w:w="3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5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Layout w:type="fixed"/>
          <w:tblCellMar>
            <w:top w:w="0" w:type="dxa"/>
            <w:left w:w="108" w:type="dxa"/>
            <w:bottom w:w="0" w:type="dxa"/>
            <w:right w:w="108" w:type="dxa"/>
          </w:tblCellMar>
        </w:tblPrEx>
        <w:trPr>
          <w:trHeight w:val="253" w:hRule="atLeast"/>
        </w:trPr>
        <w:tc>
          <w:tcPr>
            <w:tcW w:w="4493"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部门：洛阳市老城区会计核算中心</w:t>
            </w: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96" w:hRule="atLeast"/>
        </w:trPr>
        <w:tc>
          <w:tcPr>
            <w:tcW w:w="449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9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59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59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59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59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59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Layout w:type="fixed"/>
          <w:tblCellMar>
            <w:top w:w="0" w:type="dxa"/>
            <w:left w:w="108" w:type="dxa"/>
            <w:bottom w:w="0" w:type="dxa"/>
            <w:right w:w="108" w:type="dxa"/>
          </w:tblCellMar>
        </w:tblPrEx>
        <w:trPr>
          <w:trHeight w:val="312" w:hRule="atLeast"/>
        </w:trPr>
        <w:tc>
          <w:tcPr>
            <w:tcW w:w="98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508"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5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8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5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296" w:hRule="atLeast"/>
        </w:trPr>
        <w:tc>
          <w:tcPr>
            <w:tcW w:w="4493"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59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Layout w:type="fixed"/>
          <w:tblCellMar>
            <w:top w:w="0" w:type="dxa"/>
            <w:left w:w="108" w:type="dxa"/>
            <w:bottom w:w="0" w:type="dxa"/>
            <w:right w:w="108" w:type="dxa"/>
          </w:tblCellMar>
        </w:tblPrEx>
        <w:trPr>
          <w:trHeight w:val="296" w:hRule="atLeast"/>
        </w:trPr>
        <w:tc>
          <w:tcPr>
            <w:tcW w:w="4493"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406.97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356.05</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50.92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357.02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306.10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357.02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306.10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46.79</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46.79</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2010605</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财政国库业务</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259.31</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259.31</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2010607</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信息化建设</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2010608</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财政委托业务支出</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43.23</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43.23</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2080501</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行政单位离退休</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5.69</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5.69</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2080502</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事业单位离退休</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0.87</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9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35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296" w:hRule="atLeast"/>
        </w:trPr>
        <w:tc>
          <w:tcPr>
            <w:tcW w:w="14081"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
    <w:p/>
    <w:p/>
    <w:p/>
    <w:p/>
    <w:p/>
    <w:p/>
    <w:p/>
    <w:p/>
    <w:p/>
    <w:p/>
    <w:p/>
    <w:p/>
    <w:p>
      <w:pPr>
        <w:widowControl/>
        <w:jc w:val="left"/>
      </w:pPr>
      <w:r>
        <w:br w:type="page"/>
      </w:r>
    </w:p>
    <w:tbl>
      <w:tblPr>
        <w:tblStyle w:val="5"/>
        <w:tblW w:w="14027" w:type="dxa"/>
        <w:tblInd w:w="93" w:type="dxa"/>
        <w:tblLayout w:type="fixed"/>
        <w:tblCellMar>
          <w:top w:w="0" w:type="dxa"/>
          <w:left w:w="108" w:type="dxa"/>
          <w:bottom w:w="0" w:type="dxa"/>
          <w:right w:w="108" w:type="dxa"/>
        </w:tblCellMar>
      </w:tblPr>
      <w:tblGrid>
        <w:gridCol w:w="2772"/>
        <w:gridCol w:w="479"/>
        <w:gridCol w:w="1419"/>
        <w:gridCol w:w="3102"/>
        <w:gridCol w:w="479"/>
        <w:gridCol w:w="1419"/>
        <w:gridCol w:w="1419"/>
        <w:gridCol w:w="1419"/>
        <w:gridCol w:w="1519"/>
      </w:tblGrid>
      <w:tr>
        <w:tblPrEx>
          <w:tblLayout w:type="fixed"/>
          <w:tblCellMar>
            <w:top w:w="0" w:type="dxa"/>
            <w:left w:w="108" w:type="dxa"/>
            <w:bottom w:w="0" w:type="dxa"/>
            <w:right w:w="108" w:type="dxa"/>
          </w:tblCellMar>
        </w:tblPrEx>
        <w:trPr>
          <w:trHeight w:val="375" w:hRule="atLeast"/>
        </w:trPr>
        <w:tc>
          <w:tcPr>
            <w:tcW w:w="27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357" w:type="dxa"/>
            <w:gridSpan w:val="6"/>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r>
              <w:rPr>
                <w:rFonts w:hint="eastAsia" w:ascii="宋体" w:hAnsi="宋体" w:eastAsia="宋体" w:cs="Arial"/>
                <w:color w:val="000000"/>
                <w:kern w:val="0"/>
                <w:sz w:val="30"/>
                <w:szCs w:val="30"/>
              </w:rPr>
              <w:t>财政拨款收入支出决算总表</w:t>
            </w:r>
          </w:p>
        </w:tc>
      </w:tr>
      <w:tr>
        <w:tblPrEx>
          <w:tblLayout w:type="fixed"/>
          <w:tblCellMar>
            <w:top w:w="0" w:type="dxa"/>
            <w:left w:w="108" w:type="dxa"/>
            <w:bottom w:w="0" w:type="dxa"/>
            <w:right w:w="108" w:type="dxa"/>
          </w:tblCellMar>
        </w:tblPrEx>
        <w:trPr>
          <w:trHeight w:val="258" w:hRule="atLeast"/>
        </w:trPr>
        <w:tc>
          <w:tcPr>
            <w:tcW w:w="12508" w:type="dxa"/>
            <w:gridSpan w:val="8"/>
            <w:vMerge w:val="restart"/>
            <w:tcBorders>
              <w:top w:val="nil"/>
              <w:left w:val="nil"/>
              <w:right w:val="nil"/>
            </w:tcBorders>
            <w:shd w:val="clear" w:color="auto" w:fill="auto"/>
            <w:noWrap/>
            <w:vAlign w:val="bottom"/>
          </w:tcPr>
          <w:p>
            <w:pPr>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部门：洛阳市老城区会计核算中心</w:t>
            </w:r>
          </w:p>
        </w:tc>
        <w:tc>
          <w:tcPr>
            <w:tcW w:w="151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Layout w:type="fixed"/>
          <w:tblCellMar>
            <w:top w:w="0" w:type="dxa"/>
            <w:left w:w="108" w:type="dxa"/>
            <w:bottom w:w="0" w:type="dxa"/>
            <w:right w:w="108" w:type="dxa"/>
          </w:tblCellMar>
        </w:tblPrEx>
        <w:trPr>
          <w:trHeight w:val="258" w:hRule="atLeast"/>
        </w:trPr>
        <w:tc>
          <w:tcPr>
            <w:tcW w:w="12508" w:type="dxa"/>
            <w:gridSpan w:val="8"/>
            <w:vMerge w:val="continue"/>
            <w:tcBorders>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1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2" w:hRule="atLeast"/>
        </w:trPr>
        <w:tc>
          <w:tcPr>
            <w:tcW w:w="467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357"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Layout w:type="fixed"/>
          <w:tblCellMar>
            <w:top w:w="0" w:type="dxa"/>
            <w:left w:w="108" w:type="dxa"/>
            <w:bottom w:w="0" w:type="dxa"/>
            <w:right w:w="108" w:type="dxa"/>
          </w:tblCellMar>
        </w:tblPrEx>
        <w:trPr>
          <w:trHeight w:val="312" w:hRule="atLeast"/>
        </w:trPr>
        <w:tc>
          <w:tcPr>
            <w:tcW w:w="277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7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41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10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7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419"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1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41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51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Layout w:type="fixed"/>
          <w:tblCellMar>
            <w:top w:w="0" w:type="dxa"/>
            <w:left w:w="108" w:type="dxa"/>
            <w:bottom w:w="0" w:type="dxa"/>
            <w:right w:w="108" w:type="dxa"/>
          </w:tblCellMar>
        </w:tblPrEx>
        <w:trPr>
          <w:trHeight w:val="601" w:hRule="atLeast"/>
        </w:trPr>
        <w:tc>
          <w:tcPr>
            <w:tcW w:w="277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7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7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41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41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1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1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51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357.02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357.02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三、国有资本经营财政拨款</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20.82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2" w:hRule="atLeast"/>
        </w:trPr>
        <w:tc>
          <w:tcPr>
            <w:tcW w:w="277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79"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310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406.97</w:t>
            </w:r>
          </w:p>
        </w:tc>
        <w:tc>
          <w:tcPr>
            <w:tcW w:w="14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2" w:hRule="atLeast"/>
        </w:trPr>
        <w:tc>
          <w:tcPr>
            <w:tcW w:w="14027" w:type="dxa"/>
            <w:gridSpan w:val="9"/>
            <w:tcBorders>
              <w:top w:val="nil"/>
              <w:left w:val="nil"/>
              <w:bottom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r>
    </w:tbl>
    <w:p>
      <w:pPr>
        <w:widowControl/>
        <w:jc w:val="left"/>
      </w:pPr>
      <w:r>
        <w:br w:type="page"/>
      </w:r>
    </w:p>
    <w:tbl>
      <w:tblPr>
        <w:tblStyle w:val="5"/>
        <w:tblW w:w="12020" w:type="dxa"/>
        <w:tblInd w:w="93" w:type="dxa"/>
        <w:tblLayout w:type="fixed"/>
        <w:tblCellMar>
          <w:top w:w="0" w:type="dxa"/>
          <w:left w:w="108" w:type="dxa"/>
          <w:bottom w:w="0" w:type="dxa"/>
          <w:right w:w="108" w:type="dxa"/>
        </w:tblCellMar>
      </w:tblPr>
      <w:tblGrid>
        <w:gridCol w:w="340"/>
        <w:gridCol w:w="340"/>
        <w:gridCol w:w="340"/>
        <w:gridCol w:w="4040"/>
        <w:gridCol w:w="2320"/>
        <w:gridCol w:w="2320"/>
        <w:gridCol w:w="2320"/>
      </w:tblGrid>
      <w:tr>
        <w:tblPrEx>
          <w:tblLayout w:type="fixed"/>
          <w:tblCellMar>
            <w:top w:w="0" w:type="dxa"/>
            <w:left w:w="108" w:type="dxa"/>
            <w:bottom w:w="0" w:type="dxa"/>
            <w:right w:w="108" w:type="dxa"/>
          </w:tblCellMar>
        </w:tblPrEx>
        <w:trPr>
          <w:trHeight w:val="384" w:hRule="atLeast"/>
        </w:trPr>
        <w:tc>
          <w:tcPr>
            <w:tcW w:w="12020" w:type="dxa"/>
            <w:gridSpan w:val="7"/>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r>
              <w:rPr>
                <w:rFonts w:hint="eastAsia" w:ascii="宋体" w:hAnsi="宋体" w:eastAsia="宋体" w:cs="Arial"/>
                <w:color w:val="000000"/>
                <w:kern w:val="0"/>
                <w:sz w:val="30"/>
                <w:szCs w:val="30"/>
              </w:rPr>
              <w:t>一般公共预算财政拨款支出决算表</w:t>
            </w:r>
          </w:p>
        </w:tc>
      </w:tr>
      <w:tr>
        <w:tblPrEx>
          <w:tblLayout w:type="fixed"/>
          <w:tblCellMar>
            <w:top w:w="0" w:type="dxa"/>
            <w:left w:w="108" w:type="dxa"/>
            <w:bottom w:w="0" w:type="dxa"/>
            <w:right w:w="108" w:type="dxa"/>
          </w:tblCellMar>
        </w:tblPrEx>
        <w:trPr>
          <w:trHeight w:val="264" w:hRule="atLeast"/>
        </w:trPr>
        <w:tc>
          <w:tcPr>
            <w:tcW w:w="3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2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Layout w:type="fixed"/>
          <w:tblCellMar>
            <w:top w:w="0" w:type="dxa"/>
            <w:left w:w="108" w:type="dxa"/>
            <w:bottom w:w="0" w:type="dxa"/>
            <w:right w:w="108" w:type="dxa"/>
          </w:tblCellMar>
        </w:tblPrEx>
        <w:trPr>
          <w:trHeight w:val="264" w:hRule="atLeast"/>
        </w:trPr>
        <w:tc>
          <w:tcPr>
            <w:tcW w:w="5060"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部门：洛阳市老城区会计核算中心</w:t>
            </w:r>
          </w:p>
        </w:tc>
        <w:tc>
          <w:tcPr>
            <w:tcW w:w="23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2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9" w:hRule="atLeast"/>
        </w:trPr>
        <w:tc>
          <w:tcPr>
            <w:tcW w:w="506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96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Layout w:type="fixed"/>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04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3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3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3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9" w:hRule="atLeast"/>
        </w:trPr>
        <w:tc>
          <w:tcPr>
            <w:tcW w:w="506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3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3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3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9" w:hRule="atLeast"/>
        </w:trPr>
        <w:tc>
          <w:tcPr>
            <w:tcW w:w="506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406.97</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356.05</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50.92</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201</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一般公共服务支出</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357.02</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306.10</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50.92</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20106</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财政事务</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357.02</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306.10</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50.92</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2010601</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行政运行</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46.79</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46.79</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2010602</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一般行政管理事务</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4.69</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4.69</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2010605</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财政国库业务</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259.31</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259.31</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2010607</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信息化建设</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3.00</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2010608</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财政委托业务支出</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43.23</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43.23</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社会保障和就业支出</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6.57</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6.57</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20805</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行政事业单位养老支出</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6.57</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6.57</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2080501</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行政单位离退休</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5.69</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5.69</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2080502</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事业单位离退休</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0.87</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0.87</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210</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卫生健康支出</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22.56</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22.56</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21011</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行政事业单位医疗</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22.56</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22.56</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2101102</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事业单位医疗</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22.56</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22.56</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221</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住房保障支出</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20.82</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20.82</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22102</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住房改革支出</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20.82</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20.82</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2210201</w:t>
            </w:r>
          </w:p>
        </w:tc>
        <w:tc>
          <w:tcPr>
            <w:tcW w:w="40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住房公积金</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20.82</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20.82</w:t>
            </w:r>
          </w:p>
        </w:tc>
        <w:tc>
          <w:tcPr>
            <w:tcW w:w="23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9" w:hRule="atLeast"/>
        </w:trPr>
        <w:tc>
          <w:tcPr>
            <w:tcW w:w="12020"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注：本表反映部门本年度一般公共预算财政拨款支出情况。</w:t>
            </w:r>
          </w:p>
        </w:tc>
      </w:tr>
    </w:tbl>
    <w:p>
      <w:pPr>
        <w:rPr>
          <w:highlight w:val="none"/>
        </w:rPr>
      </w:pPr>
    </w:p>
    <w:p>
      <w:pPr>
        <w:widowControl/>
        <w:jc w:val="left"/>
        <w:rPr>
          <w:highlight w:val="none"/>
        </w:rPr>
      </w:pPr>
      <w:r>
        <w:rPr>
          <w:highlight w:val="none"/>
        </w:rPr>
        <w:br w:type="page"/>
      </w:r>
    </w:p>
    <w:tbl>
      <w:tblPr>
        <w:tblStyle w:val="5"/>
        <w:tblW w:w="14081" w:type="dxa"/>
        <w:tblInd w:w="93" w:type="dxa"/>
        <w:tblLayout w:type="fixed"/>
        <w:tblCellMar>
          <w:top w:w="0" w:type="dxa"/>
          <w:left w:w="108" w:type="dxa"/>
          <w:bottom w:w="0" w:type="dxa"/>
          <w:right w:w="108" w:type="dxa"/>
        </w:tblCellMar>
      </w:tblPr>
      <w:tblGrid>
        <w:gridCol w:w="765"/>
        <w:gridCol w:w="2560"/>
        <w:gridCol w:w="1306"/>
        <w:gridCol w:w="766"/>
        <w:gridCol w:w="2026"/>
        <w:gridCol w:w="1306"/>
        <w:gridCol w:w="766"/>
        <w:gridCol w:w="3280"/>
        <w:gridCol w:w="1306"/>
      </w:tblGrid>
      <w:tr>
        <w:tblPrEx>
          <w:tblLayout w:type="fixed"/>
          <w:tblCellMar>
            <w:top w:w="0" w:type="dxa"/>
            <w:left w:w="108" w:type="dxa"/>
            <w:bottom w:w="0" w:type="dxa"/>
            <w:right w:w="108" w:type="dxa"/>
          </w:tblCellMar>
        </w:tblPrEx>
        <w:trPr>
          <w:trHeight w:val="374" w:hRule="atLeast"/>
        </w:trPr>
        <w:tc>
          <w:tcPr>
            <w:tcW w:w="14081" w:type="dxa"/>
            <w:gridSpan w:val="9"/>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highlight w:val="none"/>
              </w:rPr>
            </w:pPr>
            <w:r>
              <w:rPr>
                <w:rFonts w:hint="eastAsia" w:ascii="宋体" w:hAnsi="宋体" w:eastAsia="宋体" w:cs="Arial"/>
                <w:color w:val="000000"/>
                <w:kern w:val="0"/>
                <w:sz w:val="30"/>
                <w:szCs w:val="30"/>
                <w:highlight w:val="none"/>
              </w:rPr>
              <w:t>一般公共预算财政拨款基本支出决算表</w:t>
            </w:r>
          </w:p>
        </w:tc>
      </w:tr>
      <w:tr>
        <w:tblPrEx>
          <w:tblLayout w:type="fixed"/>
          <w:tblCellMar>
            <w:top w:w="0" w:type="dxa"/>
            <w:left w:w="108" w:type="dxa"/>
            <w:bottom w:w="0" w:type="dxa"/>
            <w:right w:w="108" w:type="dxa"/>
          </w:tblCellMar>
        </w:tblPrEx>
        <w:trPr>
          <w:trHeight w:val="257" w:hRule="atLeast"/>
        </w:trPr>
        <w:tc>
          <w:tcPr>
            <w:tcW w:w="76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25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13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20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13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32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130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公开06表</w:t>
            </w:r>
          </w:p>
        </w:tc>
      </w:tr>
      <w:tr>
        <w:tblPrEx>
          <w:tblLayout w:type="fixed"/>
          <w:tblCellMar>
            <w:top w:w="0" w:type="dxa"/>
            <w:left w:w="108" w:type="dxa"/>
            <w:bottom w:w="0" w:type="dxa"/>
            <w:right w:w="108" w:type="dxa"/>
          </w:tblCellMar>
        </w:tblPrEx>
        <w:trPr>
          <w:trHeight w:val="257" w:hRule="atLeast"/>
        </w:trPr>
        <w:tc>
          <w:tcPr>
            <w:tcW w:w="3325"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rPr>
              <w:t>部门：洛阳市老城区会计核算中心</w:t>
            </w:r>
          </w:p>
        </w:tc>
        <w:tc>
          <w:tcPr>
            <w:tcW w:w="13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20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13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highlight w:val="none"/>
              </w:rPr>
            </w:pPr>
          </w:p>
        </w:tc>
        <w:tc>
          <w:tcPr>
            <w:tcW w:w="458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highlight w:val="none"/>
              </w:rPr>
            </w:pPr>
            <w:r>
              <w:rPr>
                <w:rFonts w:hint="eastAsia" w:ascii="宋体" w:hAnsi="宋体" w:eastAsia="宋体" w:cs="Arial"/>
                <w:color w:val="000000"/>
                <w:kern w:val="0"/>
                <w:sz w:val="18"/>
                <w:szCs w:val="18"/>
                <w:highlight w:val="none"/>
              </w:rPr>
              <w:t>金额单位：万元</w:t>
            </w:r>
          </w:p>
        </w:tc>
      </w:tr>
      <w:tr>
        <w:tblPrEx>
          <w:tblLayout w:type="fixed"/>
          <w:tblCellMar>
            <w:top w:w="0" w:type="dxa"/>
            <w:left w:w="108" w:type="dxa"/>
            <w:bottom w:w="0" w:type="dxa"/>
            <w:right w:w="108" w:type="dxa"/>
          </w:tblCellMar>
        </w:tblPrEx>
        <w:trPr>
          <w:trHeight w:val="301" w:hRule="atLeast"/>
        </w:trPr>
        <w:tc>
          <w:tcPr>
            <w:tcW w:w="463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人员经费</w:t>
            </w:r>
          </w:p>
        </w:tc>
        <w:tc>
          <w:tcPr>
            <w:tcW w:w="9450"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公用经费</w:t>
            </w:r>
          </w:p>
        </w:tc>
      </w:tr>
      <w:tr>
        <w:tblPrEx>
          <w:tblLayout w:type="fixed"/>
          <w:tblCellMar>
            <w:top w:w="0" w:type="dxa"/>
            <w:left w:w="108" w:type="dxa"/>
            <w:bottom w:w="0" w:type="dxa"/>
            <w:right w:w="108" w:type="dxa"/>
          </w:tblCellMar>
        </w:tblPrEx>
        <w:trPr>
          <w:trHeight w:val="312" w:hRule="atLeast"/>
        </w:trPr>
        <w:tc>
          <w:tcPr>
            <w:tcW w:w="765"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科目编码</w:t>
            </w:r>
          </w:p>
        </w:tc>
        <w:tc>
          <w:tcPr>
            <w:tcW w:w="25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科目名称</w:t>
            </w:r>
          </w:p>
        </w:tc>
        <w:tc>
          <w:tcPr>
            <w:tcW w:w="130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科目编码</w:t>
            </w:r>
          </w:p>
        </w:tc>
        <w:tc>
          <w:tcPr>
            <w:tcW w:w="202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科目名称</w:t>
            </w:r>
          </w:p>
        </w:tc>
        <w:tc>
          <w:tcPr>
            <w:tcW w:w="130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科目编码</w:t>
            </w:r>
          </w:p>
        </w:tc>
        <w:tc>
          <w:tcPr>
            <w:tcW w:w="32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科目名称</w:t>
            </w:r>
          </w:p>
        </w:tc>
        <w:tc>
          <w:tcPr>
            <w:tcW w:w="130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决算数</w:t>
            </w:r>
          </w:p>
        </w:tc>
      </w:tr>
      <w:tr>
        <w:tblPrEx>
          <w:tblLayout w:type="fixed"/>
          <w:tblCellMar>
            <w:top w:w="0" w:type="dxa"/>
            <w:left w:w="108" w:type="dxa"/>
            <w:bottom w:w="0" w:type="dxa"/>
            <w:right w:w="108" w:type="dxa"/>
          </w:tblCellMar>
        </w:tblPrEx>
        <w:trPr>
          <w:trHeight w:val="312" w:hRule="atLeast"/>
        </w:trPr>
        <w:tc>
          <w:tcPr>
            <w:tcW w:w="7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highlight w:val="none"/>
              </w:rPr>
            </w:pPr>
          </w:p>
        </w:tc>
        <w:tc>
          <w:tcPr>
            <w:tcW w:w="25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highlight w:val="none"/>
              </w:rPr>
            </w:pPr>
          </w:p>
        </w:tc>
        <w:tc>
          <w:tcPr>
            <w:tcW w:w="13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highlight w:val="none"/>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highlight w:val="none"/>
              </w:rPr>
            </w:pPr>
          </w:p>
        </w:tc>
        <w:tc>
          <w:tcPr>
            <w:tcW w:w="20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highlight w:val="none"/>
              </w:rPr>
            </w:pPr>
          </w:p>
        </w:tc>
        <w:tc>
          <w:tcPr>
            <w:tcW w:w="13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highlight w:val="none"/>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highlight w:val="none"/>
              </w:rPr>
            </w:pPr>
          </w:p>
        </w:tc>
        <w:tc>
          <w:tcPr>
            <w:tcW w:w="32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highlight w:val="none"/>
              </w:rPr>
            </w:pPr>
          </w:p>
        </w:tc>
        <w:tc>
          <w:tcPr>
            <w:tcW w:w="13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highlight w:val="none"/>
              </w:rPr>
            </w:pP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工资福利支出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337.05</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商品和服务支出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12.44</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307</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债务利息及费用支出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30101</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基本工资</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78.37</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30201</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办公费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2.63</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30701</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国内债务付息</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30102</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津贴补贴</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32.02</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30202</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印刷费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0.95</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30702</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国外债务付息</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30103</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奖金</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50.67</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30203</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咨询费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资本性支出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30106</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伙食补助费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30204</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手续费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0.01</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31001</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房屋建筑物购建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30107</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绩效工资</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98.57</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30205</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水费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31002</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办公设备购置</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30108</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机关事业单位基本养老保险缴费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21.55</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30206</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电费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31003</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专用设备购置</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30109</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职业年金缴费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30207</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邮电费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0.60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31005</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基础设施建设</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30110</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职工基本医疗保险缴费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13.22</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30208</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取暖费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31006</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大型修缮</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30111</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公务员医疗补助缴费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10.33</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30209</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物业管理费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31007</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信息网络及软件购置更新</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30112</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其他社会保障缴费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1.48</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30211</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差旅费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31008</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物资储备</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30113</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住房公积金</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21.65</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30212</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因公出国（境）费用</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31009</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土地补偿</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30114</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医疗费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30213</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维修（护）费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0.12</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31010</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安置补助</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30199</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其他工资福利支出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9.18</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30214</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租赁费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31011</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地上附着物和青苗补偿</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303</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对个人和家庭的补助</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6.57</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30215</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会议费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31012</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xml:space="preserve">  拆迁补偿</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3.08</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1" w:hRule="atLeast"/>
        </w:trPr>
        <w:tc>
          <w:tcPr>
            <w:tcW w:w="76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56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0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w:t>
            </w:r>
          </w:p>
        </w:tc>
        <w:tc>
          <w:tcPr>
            <w:tcW w:w="76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1" w:hRule="atLeast"/>
        </w:trPr>
        <w:tc>
          <w:tcPr>
            <w:tcW w:w="3325"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343.61</w:t>
            </w:r>
          </w:p>
        </w:tc>
        <w:tc>
          <w:tcPr>
            <w:tcW w:w="8144" w:type="dxa"/>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3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12.44</w:t>
            </w:r>
          </w:p>
        </w:tc>
      </w:tr>
      <w:tr>
        <w:tblPrEx>
          <w:tblLayout w:type="fixed"/>
          <w:tblCellMar>
            <w:top w:w="0" w:type="dxa"/>
            <w:left w:w="108" w:type="dxa"/>
            <w:bottom w:w="0" w:type="dxa"/>
            <w:right w:w="108" w:type="dxa"/>
          </w:tblCellMar>
        </w:tblPrEx>
        <w:trPr>
          <w:trHeight w:val="301" w:hRule="atLeast"/>
        </w:trPr>
        <w:tc>
          <w:tcPr>
            <w:tcW w:w="14081"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
      <w:pPr>
        <w:widowControl/>
        <w:jc w:val="left"/>
      </w:pPr>
      <w:r>
        <w:br w:type="page"/>
      </w:r>
    </w:p>
    <w:tbl>
      <w:tblPr>
        <w:tblStyle w:val="5"/>
        <w:tblW w:w="13587" w:type="dxa"/>
        <w:tblInd w:w="93" w:type="dxa"/>
        <w:tblLayout w:type="fixed"/>
        <w:tblCellMar>
          <w:top w:w="0" w:type="dxa"/>
          <w:left w:w="108" w:type="dxa"/>
          <w:bottom w:w="0" w:type="dxa"/>
          <w:right w:w="108" w:type="dxa"/>
        </w:tblCellMar>
      </w:tblPr>
      <w:tblGrid>
        <w:gridCol w:w="1132"/>
        <w:gridCol w:w="1132"/>
        <w:gridCol w:w="1133"/>
        <w:gridCol w:w="1132"/>
        <w:gridCol w:w="1132"/>
        <w:gridCol w:w="1132"/>
        <w:gridCol w:w="1132"/>
        <w:gridCol w:w="1132"/>
        <w:gridCol w:w="1132"/>
        <w:gridCol w:w="1132"/>
        <w:gridCol w:w="1133"/>
        <w:gridCol w:w="1133"/>
      </w:tblGrid>
      <w:tr>
        <w:tblPrEx>
          <w:tblLayout w:type="fixed"/>
          <w:tblCellMar>
            <w:top w:w="0" w:type="dxa"/>
            <w:left w:w="108" w:type="dxa"/>
            <w:bottom w:w="0" w:type="dxa"/>
            <w:right w:w="108" w:type="dxa"/>
          </w:tblCellMar>
        </w:tblPrEx>
        <w:trPr>
          <w:trHeight w:val="534" w:hRule="atLeast"/>
        </w:trPr>
        <w:tc>
          <w:tcPr>
            <w:tcW w:w="13587" w:type="dxa"/>
            <w:gridSpan w:val="12"/>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r>
              <w:rPr>
                <w:rFonts w:hint="eastAsia" w:ascii="宋体" w:hAnsi="宋体" w:eastAsia="宋体" w:cs="Arial"/>
                <w:color w:val="000000"/>
                <w:kern w:val="0"/>
                <w:sz w:val="44"/>
                <w:szCs w:val="44"/>
              </w:rPr>
              <w:t>一般公共预算财政拨款“三公”经费支出决算表</w:t>
            </w:r>
          </w:p>
        </w:tc>
      </w:tr>
      <w:tr>
        <w:tblPrEx>
          <w:tblLayout w:type="fixed"/>
          <w:tblCellMar>
            <w:top w:w="0" w:type="dxa"/>
            <w:left w:w="108" w:type="dxa"/>
            <w:bottom w:w="0" w:type="dxa"/>
            <w:right w:w="108" w:type="dxa"/>
          </w:tblCellMar>
        </w:tblPrEx>
        <w:trPr>
          <w:trHeight w:val="250" w:hRule="atLeast"/>
        </w:trPr>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Layout w:type="fixed"/>
          <w:tblCellMar>
            <w:top w:w="0" w:type="dxa"/>
            <w:left w:w="108" w:type="dxa"/>
            <w:bottom w:w="0" w:type="dxa"/>
            <w:right w:w="108" w:type="dxa"/>
          </w:tblCellMar>
        </w:tblPrEx>
        <w:trPr>
          <w:trHeight w:val="250" w:hRule="atLeast"/>
        </w:trPr>
        <w:tc>
          <w:tcPr>
            <w:tcW w:w="3397" w:type="dxa"/>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部门：洛阳市老城区会计核算中心</w:t>
            </w: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98"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93" w:hRule="atLeast"/>
        </w:trPr>
        <w:tc>
          <w:tcPr>
            <w:tcW w:w="6793"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6794"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Layout w:type="fixed"/>
          <w:tblCellMar>
            <w:top w:w="0" w:type="dxa"/>
            <w:left w:w="108" w:type="dxa"/>
            <w:bottom w:w="0" w:type="dxa"/>
            <w:right w:w="108" w:type="dxa"/>
          </w:tblCellMar>
        </w:tblPrEx>
        <w:trPr>
          <w:trHeight w:val="293" w:hRule="atLeast"/>
        </w:trPr>
        <w:tc>
          <w:tcPr>
            <w:tcW w:w="113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3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397"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13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13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3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397"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13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Layout w:type="fixed"/>
          <w:tblCellMar>
            <w:top w:w="0" w:type="dxa"/>
            <w:left w:w="108" w:type="dxa"/>
            <w:bottom w:w="0" w:type="dxa"/>
            <w:right w:w="108" w:type="dxa"/>
          </w:tblCellMar>
        </w:tblPrEx>
        <w:trPr>
          <w:trHeight w:val="583" w:hRule="atLeast"/>
        </w:trPr>
        <w:tc>
          <w:tcPr>
            <w:tcW w:w="113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1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3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13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293" w:hRule="atLeast"/>
        </w:trPr>
        <w:tc>
          <w:tcPr>
            <w:tcW w:w="1132"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3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1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13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13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Layout w:type="fixed"/>
          <w:tblCellMar>
            <w:top w:w="0" w:type="dxa"/>
            <w:left w:w="108" w:type="dxa"/>
            <w:bottom w:w="0" w:type="dxa"/>
            <w:right w:w="108" w:type="dxa"/>
          </w:tblCellMar>
        </w:tblPrEx>
        <w:trPr>
          <w:trHeight w:val="293" w:hRule="atLeast"/>
        </w:trPr>
        <w:tc>
          <w:tcPr>
            <w:tcW w:w="113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0.33</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0.33</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0.33</w:t>
            </w:r>
          </w:p>
        </w:tc>
        <w:tc>
          <w:tcPr>
            <w:tcW w:w="11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Layout w:type="fixed"/>
          <w:tblCellMar>
            <w:top w:w="0" w:type="dxa"/>
            <w:left w:w="108" w:type="dxa"/>
            <w:bottom w:w="0" w:type="dxa"/>
            <w:right w:w="108" w:type="dxa"/>
          </w:tblCellMar>
        </w:tblPrEx>
        <w:trPr>
          <w:trHeight w:val="583" w:hRule="atLeast"/>
        </w:trPr>
        <w:tc>
          <w:tcPr>
            <w:tcW w:w="13587" w:type="dxa"/>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注：本表反映部门本年度“三公”经费支出预决算情况。其中，预算数为“三公”经费年初预算数；决算数是包括当年一般公共预算财政拨款和以前年度结转资金安排的实际支出。</w:t>
            </w:r>
          </w:p>
        </w:tc>
      </w:tr>
    </w:tbl>
    <w:p/>
    <w:p>
      <w:pPr>
        <w:widowControl/>
        <w:jc w:val="left"/>
      </w:pPr>
      <w:r>
        <w:br w:type="page"/>
      </w:r>
    </w:p>
    <w:tbl>
      <w:tblPr>
        <w:tblStyle w:val="5"/>
        <w:tblW w:w="13908" w:type="dxa"/>
        <w:tblInd w:w="93" w:type="dxa"/>
        <w:tblLayout w:type="fixed"/>
        <w:tblCellMar>
          <w:top w:w="0" w:type="dxa"/>
          <w:left w:w="108" w:type="dxa"/>
          <w:bottom w:w="0" w:type="dxa"/>
          <w:right w:w="108" w:type="dxa"/>
        </w:tblCellMar>
      </w:tblPr>
      <w:tblGrid>
        <w:gridCol w:w="307"/>
        <w:gridCol w:w="307"/>
        <w:gridCol w:w="308"/>
        <w:gridCol w:w="3654"/>
        <w:gridCol w:w="1555"/>
        <w:gridCol w:w="1555"/>
        <w:gridCol w:w="1555"/>
        <w:gridCol w:w="1555"/>
        <w:gridCol w:w="1556"/>
        <w:gridCol w:w="1556"/>
      </w:tblGrid>
      <w:tr>
        <w:tblPrEx>
          <w:tblLayout w:type="fixed"/>
          <w:tblCellMar>
            <w:top w:w="0" w:type="dxa"/>
            <w:left w:w="108" w:type="dxa"/>
            <w:bottom w:w="0" w:type="dxa"/>
            <w:right w:w="108" w:type="dxa"/>
          </w:tblCellMar>
        </w:tblPrEx>
        <w:trPr>
          <w:trHeight w:val="347" w:hRule="atLeast"/>
        </w:trPr>
        <w:tc>
          <w:tcPr>
            <w:tcW w:w="3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86" w:type="dxa"/>
            <w:gridSpan w:val="7"/>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r>
              <w:rPr>
                <w:rFonts w:hint="eastAsia" w:ascii="宋体" w:hAnsi="宋体" w:eastAsia="宋体" w:cs="Arial"/>
                <w:color w:val="000000"/>
                <w:kern w:val="0"/>
                <w:sz w:val="30"/>
                <w:szCs w:val="30"/>
              </w:rPr>
              <w:t>政府性基金预算财政拨款收入支出决算表</w:t>
            </w:r>
          </w:p>
        </w:tc>
      </w:tr>
      <w:tr>
        <w:tblPrEx>
          <w:tblLayout w:type="fixed"/>
          <w:tblCellMar>
            <w:top w:w="0" w:type="dxa"/>
            <w:left w:w="108" w:type="dxa"/>
            <w:bottom w:w="0" w:type="dxa"/>
            <w:right w:w="108" w:type="dxa"/>
          </w:tblCellMar>
        </w:tblPrEx>
        <w:trPr>
          <w:trHeight w:val="238" w:hRule="atLeast"/>
        </w:trPr>
        <w:tc>
          <w:tcPr>
            <w:tcW w:w="3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65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Layout w:type="fixed"/>
          <w:tblCellMar>
            <w:top w:w="0" w:type="dxa"/>
            <w:left w:w="108" w:type="dxa"/>
            <w:bottom w:w="0" w:type="dxa"/>
            <w:right w:w="108" w:type="dxa"/>
          </w:tblCellMar>
        </w:tblPrEx>
        <w:trPr>
          <w:trHeight w:val="238" w:hRule="atLeast"/>
        </w:trPr>
        <w:tc>
          <w:tcPr>
            <w:tcW w:w="4576"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部门：洛阳市老城区会计核算中心</w:t>
            </w:r>
          </w:p>
        </w:tc>
        <w:tc>
          <w:tcPr>
            <w:tcW w:w="15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279" w:hRule="atLeast"/>
        </w:trPr>
        <w:tc>
          <w:tcPr>
            <w:tcW w:w="457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5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55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4666"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55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Layout w:type="fixed"/>
          <w:tblCellMar>
            <w:top w:w="0" w:type="dxa"/>
            <w:left w:w="108" w:type="dxa"/>
            <w:bottom w:w="0" w:type="dxa"/>
            <w:right w:w="108" w:type="dxa"/>
          </w:tblCellMar>
        </w:tblPrEx>
        <w:trPr>
          <w:trHeight w:val="312" w:hRule="atLeast"/>
        </w:trPr>
        <w:tc>
          <w:tcPr>
            <w:tcW w:w="92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654"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55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55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5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2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65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92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65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279" w:hRule="atLeast"/>
        </w:trPr>
        <w:tc>
          <w:tcPr>
            <w:tcW w:w="457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5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55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55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Layout w:type="fixed"/>
          <w:tblCellMar>
            <w:top w:w="0" w:type="dxa"/>
            <w:left w:w="108" w:type="dxa"/>
            <w:bottom w:w="0" w:type="dxa"/>
            <w:right w:w="108" w:type="dxa"/>
          </w:tblCellMar>
        </w:tblPrEx>
        <w:trPr>
          <w:trHeight w:val="279" w:hRule="atLeast"/>
        </w:trPr>
        <w:tc>
          <w:tcPr>
            <w:tcW w:w="457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Layout w:type="fixed"/>
          <w:tblCellMar>
            <w:top w:w="0" w:type="dxa"/>
            <w:left w:w="108" w:type="dxa"/>
            <w:bottom w:w="0" w:type="dxa"/>
            <w:right w:w="108" w:type="dxa"/>
          </w:tblCellMar>
        </w:tblPrEx>
        <w:trPr>
          <w:trHeight w:val="279"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279"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279"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279"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279"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279" w:hRule="atLeast"/>
        </w:trPr>
        <w:tc>
          <w:tcPr>
            <w:tcW w:w="92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5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279" w:hRule="atLeast"/>
        </w:trPr>
        <w:tc>
          <w:tcPr>
            <w:tcW w:w="13908"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
      <w:r>
        <w:rPr>
          <w:rFonts w:hint="eastAsia" w:ascii="宋体" w:hAnsi="宋体"/>
          <w:color w:val="000000"/>
          <w:sz w:val="20"/>
          <w:lang w:val="zh-CN"/>
        </w:rPr>
        <w:t>说明：我部门没有政府性基金收入，也没有使用政府性基金安排的支出，故本表无数据。</w:t>
      </w:r>
    </w:p>
    <w:p>
      <w:pPr>
        <w:widowControl/>
        <w:jc w:val="left"/>
        <w:sectPr>
          <w:pgSz w:w="16838" w:h="11906" w:orient="landscape"/>
          <w:pgMar w:top="1800" w:right="1440" w:bottom="1800" w:left="1440" w:header="851" w:footer="992" w:gutter="0"/>
          <w:cols w:space="425" w:num="1"/>
          <w:docGrid w:type="lines" w:linePitch="312" w:charSpace="0"/>
        </w:sectPr>
      </w:pPr>
      <w:bookmarkStart w:id="0" w:name="_GoBack"/>
      <w:bookmarkEnd w:id="0"/>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一、收入支出决算总体情况说明</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2020年度收、支加结余总计均为</w:t>
      </w:r>
      <w:r>
        <w:rPr>
          <w:rFonts w:hint="eastAsia" w:ascii="仿宋_GB2312" w:eastAsia="仿宋_GB2312" w:cs="仿宋"/>
          <w:sz w:val="32"/>
          <w:szCs w:val="32"/>
        </w:rPr>
        <w:t>406.97</w:t>
      </w:r>
      <w:r>
        <w:rPr>
          <w:rFonts w:hint="eastAsia" w:ascii="仿宋_GB2312" w:eastAsia="仿宋_GB2312" w:cs="仿宋"/>
          <w:sz w:val="32"/>
          <w:szCs w:val="32"/>
          <w:lang w:val="zh-CN"/>
        </w:rPr>
        <w:t>万元。与上年度相比，收、支总计各增加</w:t>
      </w:r>
      <w:r>
        <w:rPr>
          <w:rFonts w:hint="eastAsia" w:ascii="仿宋_GB2312" w:eastAsia="仿宋_GB2312" w:cs="仿宋"/>
          <w:sz w:val="32"/>
          <w:szCs w:val="32"/>
        </w:rPr>
        <w:t>34.76</w:t>
      </w:r>
      <w:r>
        <w:rPr>
          <w:rFonts w:hint="eastAsia" w:ascii="仿宋_GB2312" w:eastAsia="仿宋_GB2312" w:cs="仿宋"/>
          <w:sz w:val="32"/>
          <w:szCs w:val="32"/>
          <w:lang w:val="zh-CN"/>
        </w:rPr>
        <w:t>万元，增长</w:t>
      </w:r>
      <w:r>
        <w:rPr>
          <w:rFonts w:hint="eastAsia" w:ascii="仿宋_GB2312" w:eastAsia="仿宋_GB2312" w:cs="仿宋"/>
          <w:sz w:val="32"/>
          <w:szCs w:val="32"/>
        </w:rPr>
        <w:t>9.34</w:t>
      </w:r>
      <w:r>
        <w:rPr>
          <w:rFonts w:hint="eastAsia" w:ascii="仿宋_GB2312" w:eastAsia="仿宋_GB2312" w:cs="仿宋"/>
          <w:sz w:val="32"/>
          <w:szCs w:val="32"/>
          <w:lang w:val="zh-CN"/>
        </w:rPr>
        <w:t>%。主要原因为信息化建设支出增加，财政内网建设费用增加。</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二、收入决算情况说明</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2020年度收入合计</w:t>
      </w:r>
      <w:r>
        <w:rPr>
          <w:rFonts w:hint="eastAsia" w:ascii="仿宋_GB2312" w:eastAsia="仿宋_GB2312" w:cs="仿宋"/>
          <w:sz w:val="32"/>
          <w:szCs w:val="32"/>
        </w:rPr>
        <w:t>406.97</w:t>
      </w:r>
      <w:r>
        <w:rPr>
          <w:rFonts w:hint="eastAsia" w:ascii="仿宋_GB2312" w:eastAsia="仿宋_GB2312" w:cs="仿宋"/>
          <w:sz w:val="32"/>
          <w:szCs w:val="32"/>
          <w:lang w:val="zh-CN"/>
        </w:rPr>
        <w:t>万元，其中：财政拨款收入</w:t>
      </w:r>
      <w:r>
        <w:rPr>
          <w:rFonts w:hint="eastAsia" w:ascii="仿宋_GB2312" w:eastAsia="仿宋_GB2312" w:cs="仿宋"/>
          <w:sz w:val="32"/>
          <w:szCs w:val="32"/>
        </w:rPr>
        <w:t>406.97</w:t>
      </w:r>
      <w:r>
        <w:rPr>
          <w:rFonts w:hint="eastAsia" w:ascii="仿宋_GB2312" w:eastAsia="仿宋_GB2312" w:cs="仿宋"/>
          <w:sz w:val="32"/>
          <w:szCs w:val="32"/>
          <w:lang w:val="zh-CN"/>
        </w:rPr>
        <w:t>万元，占100%；上级补助收入0万元，占0%；事业收入0万元，占0%；经营收入0万元，占0%；附属单位上缴收入0万元，占0%；其他收入0万元，占0%。</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三、支出决算情况说明</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2020年度支出合计</w:t>
      </w:r>
      <w:r>
        <w:rPr>
          <w:rFonts w:hint="eastAsia" w:ascii="仿宋_GB2312" w:eastAsia="仿宋_GB2312" w:cs="仿宋"/>
          <w:sz w:val="32"/>
          <w:szCs w:val="32"/>
        </w:rPr>
        <w:t>406.97</w:t>
      </w:r>
      <w:r>
        <w:rPr>
          <w:rFonts w:hint="eastAsia" w:ascii="仿宋_GB2312" w:eastAsia="仿宋_GB2312" w:cs="仿宋"/>
          <w:sz w:val="32"/>
          <w:szCs w:val="32"/>
          <w:lang w:val="zh-CN"/>
        </w:rPr>
        <w:t>万元，其中：基本支出</w:t>
      </w:r>
      <w:r>
        <w:rPr>
          <w:rFonts w:hint="eastAsia" w:ascii="仿宋_GB2312" w:eastAsia="仿宋_GB2312" w:cs="仿宋"/>
          <w:sz w:val="32"/>
          <w:szCs w:val="32"/>
        </w:rPr>
        <w:t>356.05</w:t>
      </w:r>
      <w:r>
        <w:rPr>
          <w:rFonts w:hint="eastAsia" w:ascii="仿宋_GB2312" w:eastAsia="仿宋_GB2312" w:cs="仿宋"/>
          <w:sz w:val="32"/>
          <w:szCs w:val="32"/>
          <w:lang w:val="zh-CN"/>
        </w:rPr>
        <w:t>万元，占</w:t>
      </w:r>
      <w:r>
        <w:rPr>
          <w:rFonts w:hint="eastAsia" w:ascii="仿宋_GB2312" w:eastAsia="仿宋_GB2312" w:cs="仿宋"/>
          <w:sz w:val="32"/>
          <w:szCs w:val="32"/>
        </w:rPr>
        <w:t>87.49</w:t>
      </w:r>
      <w:r>
        <w:rPr>
          <w:rFonts w:hint="eastAsia" w:ascii="仿宋_GB2312" w:eastAsia="仿宋_GB2312" w:cs="仿宋"/>
          <w:sz w:val="32"/>
          <w:szCs w:val="32"/>
          <w:lang w:val="zh-CN"/>
        </w:rPr>
        <w:t>%；项目支出</w:t>
      </w:r>
      <w:r>
        <w:rPr>
          <w:rFonts w:hint="eastAsia" w:ascii="仿宋_GB2312" w:eastAsia="仿宋_GB2312" w:cs="仿宋"/>
          <w:sz w:val="32"/>
          <w:szCs w:val="32"/>
        </w:rPr>
        <w:t>50.92</w:t>
      </w:r>
      <w:r>
        <w:rPr>
          <w:rFonts w:hint="eastAsia" w:ascii="仿宋_GB2312" w:eastAsia="仿宋_GB2312" w:cs="仿宋"/>
          <w:sz w:val="32"/>
          <w:szCs w:val="32"/>
          <w:lang w:val="zh-CN"/>
        </w:rPr>
        <w:t>万元，占</w:t>
      </w:r>
      <w:r>
        <w:rPr>
          <w:rFonts w:hint="eastAsia" w:ascii="仿宋_GB2312" w:eastAsia="仿宋_GB2312" w:cs="仿宋"/>
          <w:sz w:val="32"/>
          <w:szCs w:val="32"/>
        </w:rPr>
        <w:t>12.51</w:t>
      </w:r>
      <w:r>
        <w:rPr>
          <w:rFonts w:hint="eastAsia" w:ascii="仿宋_GB2312" w:eastAsia="仿宋_GB2312" w:cs="仿宋"/>
          <w:sz w:val="32"/>
          <w:szCs w:val="32"/>
          <w:lang w:val="zh-CN"/>
        </w:rPr>
        <w:t>%；上缴上级支出0万元，占0%；经营支出0万元，占0%；对附属单位补助支出0万元，占0%。</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四、财政拨款收入支出决算总体情况说明</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2020年度财政拨款收、支总计均为</w:t>
      </w:r>
      <w:r>
        <w:rPr>
          <w:rFonts w:hint="eastAsia" w:ascii="仿宋_GB2312" w:eastAsia="仿宋_GB2312" w:cs="仿宋"/>
          <w:sz w:val="32"/>
          <w:szCs w:val="32"/>
        </w:rPr>
        <w:t>406.97</w:t>
      </w:r>
      <w:r>
        <w:rPr>
          <w:rFonts w:hint="eastAsia" w:ascii="仿宋_GB2312" w:eastAsia="仿宋_GB2312" w:cs="仿宋"/>
          <w:sz w:val="32"/>
          <w:szCs w:val="32"/>
          <w:lang w:val="zh-CN"/>
        </w:rPr>
        <w:t>万元。与上年度相比，财政拨款收、支总计各增加</w:t>
      </w:r>
      <w:r>
        <w:rPr>
          <w:rFonts w:hint="eastAsia" w:ascii="仿宋_GB2312" w:eastAsia="仿宋_GB2312" w:cs="仿宋"/>
          <w:sz w:val="32"/>
          <w:szCs w:val="32"/>
        </w:rPr>
        <w:t>34.76</w:t>
      </w:r>
      <w:r>
        <w:rPr>
          <w:rFonts w:hint="eastAsia" w:ascii="仿宋_GB2312" w:eastAsia="仿宋_GB2312" w:cs="仿宋"/>
          <w:sz w:val="32"/>
          <w:szCs w:val="32"/>
          <w:lang w:val="zh-CN"/>
        </w:rPr>
        <w:t>万元，增长</w:t>
      </w:r>
      <w:r>
        <w:rPr>
          <w:rFonts w:hint="eastAsia" w:ascii="仿宋_GB2312" w:eastAsia="仿宋_GB2312" w:cs="仿宋"/>
          <w:sz w:val="32"/>
          <w:szCs w:val="32"/>
        </w:rPr>
        <w:t>9.34</w:t>
      </w:r>
      <w:r>
        <w:rPr>
          <w:rFonts w:hint="eastAsia" w:ascii="仿宋_GB2312" w:eastAsia="仿宋_GB2312" w:cs="仿宋"/>
          <w:sz w:val="32"/>
          <w:szCs w:val="32"/>
          <w:lang w:val="zh-CN"/>
        </w:rPr>
        <w:t>%。主要原因为信息化建设支出增加，财政内网建设费用增加。</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五、一般公共预算财政拨款支出决算情况说明</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（一）总体情况。</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2020年度一般公共预算财政拨款支出</w:t>
      </w:r>
      <w:r>
        <w:rPr>
          <w:rFonts w:hint="eastAsia" w:ascii="仿宋_GB2312" w:eastAsia="仿宋_GB2312" w:cs="仿宋"/>
          <w:sz w:val="32"/>
          <w:szCs w:val="32"/>
        </w:rPr>
        <w:t>406.97</w:t>
      </w:r>
      <w:r>
        <w:rPr>
          <w:rFonts w:hint="eastAsia" w:ascii="仿宋_GB2312" w:eastAsia="仿宋_GB2312" w:cs="仿宋"/>
          <w:sz w:val="32"/>
          <w:szCs w:val="32"/>
          <w:lang w:val="zh-CN"/>
        </w:rPr>
        <w:t>万元，占本年支出合计的100%。与上年度相比，一般公共预算财政拨款支出增加</w:t>
      </w:r>
      <w:r>
        <w:rPr>
          <w:rFonts w:hint="eastAsia" w:ascii="仿宋_GB2312" w:eastAsia="仿宋_GB2312" w:cs="仿宋"/>
          <w:sz w:val="32"/>
          <w:szCs w:val="32"/>
        </w:rPr>
        <w:t>34.76</w:t>
      </w:r>
      <w:r>
        <w:rPr>
          <w:rFonts w:hint="eastAsia" w:ascii="仿宋_GB2312" w:eastAsia="仿宋_GB2312" w:cs="仿宋"/>
          <w:sz w:val="32"/>
          <w:szCs w:val="32"/>
          <w:lang w:val="zh-CN"/>
        </w:rPr>
        <w:t>万元，增长</w:t>
      </w:r>
      <w:r>
        <w:rPr>
          <w:rFonts w:hint="eastAsia" w:ascii="仿宋_GB2312" w:eastAsia="仿宋_GB2312" w:cs="仿宋"/>
          <w:sz w:val="32"/>
          <w:szCs w:val="32"/>
        </w:rPr>
        <w:t>9.34</w:t>
      </w:r>
      <w:r>
        <w:rPr>
          <w:rFonts w:hint="eastAsia" w:ascii="仿宋_GB2312" w:eastAsia="仿宋_GB2312" w:cs="仿宋"/>
          <w:sz w:val="32"/>
          <w:szCs w:val="32"/>
          <w:lang w:val="zh-CN"/>
        </w:rPr>
        <w:t>%。主要原因为信息化建设支出增加，财政内网建设费用增加。</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（二）结构情况。</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2020年度一般公共预算财政拨款支出</w:t>
      </w:r>
      <w:r>
        <w:rPr>
          <w:rFonts w:hint="eastAsia" w:ascii="仿宋_GB2312" w:eastAsia="仿宋_GB2312" w:cs="仿宋"/>
          <w:sz w:val="32"/>
          <w:szCs w:val="32"/>
        </w:rPr>
        <w:t>406.97</w:t>
      </w:r>
      <w:r>
        <w:rPr>
          <w:rFonts w:hint="eastAsia" w:ascii="仿宋_GB2312" w:eastAsia="仿宋_GB2312" w:cs="仿宋"/>
          <w:sz w:val="32"/>
          <w:szCs w:val="32"/>
          <w:lang w:val="zh-CN"/>
        </w:rPr>
        <w:t>万元，主要用于以下方面：一般公共服务（类）支出</w:t>
      </w:r>
      <w:r>
        <w:rPr>
          <w:rFonts w:ascii="仿宋_GB2312" w:eastAsia="仿宋_GB2312" w:cs="仿宋"/>
          <w:sz w:val="32"/>
          <w:szCs w:val="32"/>
        </w:rPr>
        <w:t>357.02</w:t>
      </w:r>
      <w:r>
        <w:rPr>
          <w:rFonts w:hint="eastAsia" w:ascii="仿宋_GB2312" w:eastAsia="仿宋_GB2312" w:cs="仿宋"/>
          <w:sz w:val="32"/>
          <w:szCs w:val="32"/>
          <w:lang w:val="zh-CN"/>
        </w:rPr>
        <w:t>万元，占</w:t>
      </w:r>
      <w:r>
        <w:rPr>
          <w:rFonts w:hint="eastAsia" w:ascii="仿宋_GB2312" w:eastAsia="仿宋_GB2312" w:cs="仿宋"/>
          <w:sz w:val="32"/>
          <w:szCs w:val="32"/>
        </w:rPr>
        <w:t>87.73</w:t>
      </w:r>
      <w:r>
        <w:rPr>
          <w:rFonts w:hint="eastAsia" w:ascii="仿宋_GB2312" w:eastAsia="仿宋_GB2312" w:cs="仿宋"/>
          <w:sz w:val="32"/>
          <w:szCs w:val="32"/>
          <w:lang w:val="zh-CN"/>
        </w:rPr>
        <w:t>%；社会保障和就业（类）支出</w:t>
      </w:r>
      <w:r>
        <w:rPr>
          <w:rFonts w:hint="eastAsia" w:ascii="仿宋_GB2312" w:eastAsia="仿宋_GB2312" w:cs="仿宋"/>
          <w:sz w:val="32"/>
          <w:szCs w:val="32"/>
        </w:rPr>
        <w:t>6.57</w:t>
      </w:r>
      <w:r>
        <w:rPr>
          <w:rFonts w:hint="eastAsia" w:ascii="仿宋_GB2312" w:eastAsia="仿宋_GB2312" w:cs="仿宋"/>
          <w:sz w:val="32"/>
          <w:szCs w:val="32"/>
          <w:lang w:val="zh-CN"/>
        </w:rPr>
        <w:t>万元，占</w:t>
      </w:r>
      <w:r>
        <w:rPr>
          <w:rFonts w:hint="eastAsia" w:ascii="仿宋_GB2312" w:eastAsia="仿宋_GB2312" w:cs="仿宋"/>
          <w:sz w:val="32"/>
          <w:szCs w:val="32"/>
        </w:rPr>
        <w:t>1.61</w:t>
      </w:r>
      <w:r>
        <w:rPr>
          <w:rFonts w:hint="eastAsia" w:ascii="仿宋_GB2312" w:eastAsia="仿宋_GB2312" w:cs="仿宋"/>
          <w:sz w:val="32"/>
          <w:szCs w:val="32"/>
          <w:lang w:val="zh-CN"/>
        </w:rPr>
        <w:t>%；卫生健康（类）支出</w:t>
      </w:r>
      <w:r>
        <w:rPr>
          <w:rFonts w:hint="eastAsia" w:ascii="仿宋_GB2312" w:eastAsia="仿宋_GB2312" w:cs="仿宋"/>
          <w:sz w:val="32"/>
          <w:szCs w:val="32"/>
        </w:rPr>
        <w:t>22.56</w:t>
      </w:r>
      <w:r>
        <w:rPr>
          <w:rFonts w:hint="eastAsia" w:ascii="仿宋_GB2312" w:eastAsia="仿宋_GB2312" w:cs="仿宋"/>
          <w:sz w:val="32"/>
          <w:szCs w:val="32"/>
          <w:lang w:val="zh-CN"/>
        </w:rPr>
        <w:t>万元，占</w:t>
      </w:r>
      <w:r>
        <w:rPr>
          <w:rFonts w:hint="eastAsia" w:ascii="仿宋_GB2312" w:eastAsia="仿宋_GB2312" w:cs="仿宋"/>
          <w:sz w:val="32"/>
          <w:szCs w:val="32"/>
        </w:rPr>
        <w:t>5.54</w:t>
      </w:r>
      <w:r>
        <w:rPr>
          <w:rFonts w:hint="eastAsia" w:ascii="仿宋_GB2312" w:eastAsia="仿宋_GB2312" w:cs="仿宋"/>
          <w:sz w:val="32"/>
          <w:szCs w:val="32"/>
          <w:lang w:val="zh-CN"/>
        </w:rPr>
        <w:t>%；住房保障（类）支出</w:t>
      </w:r>
      <w:r>
        <w:rPr>
          <w:rFonts w:ascii="仿宋_GB2312" w:eastAsia="仿宋_GB2312" w:cs="仿宋"/>
          <w:sz w:val="32"/>
          <w:szCs w:val="32"/>
        </w:rPr>
        <w:t>20.82</w:t>
      </w:r>
      <w:r>
        <w:rPr>
          <w:rFonts w:hint="eastAsia" w:ascii="仿宋_GB2312" w:eastAsia="仿宋_GB2312" w:cs="仿宋"/>
          <w:sz w:val="32"/>
          <w:szCs w:val="32"/>
          <w:lang w:val="zh-CN"/>
        </w:rPr>
        <w:t>万元，占</w:t>
      </w:r>
      <w:r>
        <w:rPr>
          <w:rFonts w:hint="eastAsia" w:ascii="仿宋_GB2312" w:eastAsia="仿宋_GB2312" w:cs="仿宋"/>
          <w:sz w:val="32"/>
          <w:szCs w:val="32"/>
        </w:rPr>
        <w:t>5.12</w:t>
      </w:r>
      <w:r>
        <w:rPr>
          <w:rFonts w:hint="eastAsia" w:ascii="仿宋_GB2312" w:eastAsia="仿宋_GB2312" w:cs="仿宋"/>
          <w:sz w:val="32"/>
          <w:szCs w:val="32"/>
          <w:lang w:val="zh-CN"/>
        </w:rPr>
        <w:t>%。</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（三）具体情况。</w:t>
      </w:r>
    </w:p>
    <w:p>
      <w:pPr>
        <w:rPr>
          <w:rFonts w:ascii="仿宋_GB2312" w:eastAsia="仿宋_GB2312" w:cs="仿宋"/>
          <w:sz w:val="32"/>
          <w:szCs w:val="32"/>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2020年度一般公共预算财政拨款支出年初预算为</w:t>
      </w:r>
      <w:r>
        <w:rPr>
          <w:rFonts w:hint="eastAsia" w:ascii="仿宋_GB2312" w:eastAsia="仿宋_GB2312" w:cs="仿宋"/>
          <w:sz w:val="32"/>
          <w:szCs w:val="32"/>
        </w:rPr>
        <w:t>330.79</w:t>
      </w:r>
      <w:r>
        <w:rPr>
          <w:rFonts w:hint="eastAsia" w:ascii="仿宋_GB2312" w:eastAsia="仿宋_GB2312" w:cs="仿宋"/>
          <w:sz w:val="32"/>
          <w:szCs w:val="32"/>
          <w:lang w:val="zh-CN"/>
        </w:rPr>
        <w:t>万元，支出决算为</w:t>
      </w:r>
      <w:r>
        <w:rPr>
          <w:rFonts w:hint="eastAsia" w:ascii="仿宋_GB2312" w:eastAsia="仿宋_GB2312" w:cs="仿宋"/>
          <w:sz w:val="32"/>
          <w:szCs w:val="32"/>
        </w:rPr>
        <w:t>406.97</w:t>
      </w:r>
      <w:r>
        <w:rPr>
          <w:rFonts w:hint="eastAsia" w:ascii="仿宋_GB2312" w:eastAsia="仿宋_GB2312" w:cs="仿宋"/>
          <w:sz w:val="32"/>
          <w:szCs w:val="32"/>
          <w:lang w:val="zh-CN"/>
        </w:rPr>
        <w:t>万元，完成年初预算的</w:t>
      </w:r>
      <w:r>
        <w:rPr>
          <w:rFonts w:hint="eastAsia" w:ascii="仿宋_GB2312" w:eastAsia="仿宋_GB2312" w:cs="仿宋"/>
          <w:sz w:val="32"/>
          <w:szCs w:val="32"/>
        </w:rPr>
        <w:t>123.03</w:t>
      </w:r>
      <w:r>
        <w:rPr>
          <w:rFonts w:hint="eastAsia" w:ascii="仿宋_GB2312" w:eastAsia="仿宋_GB2312" w:cs="仿宋"/>
          <w:sz w:val="32"/>
          <w:szCs w:val="32"/>
          <w:lang w:val="zh-CN"/>
        </w:rPr>
        <w:t xml:space="preserve"> %。其中：</w:t>
      </w:r>
      <w:r>
        <w:rPr>
          <w:rFonts w:hint="eastAsia" w:ascii="仿宋_GB2312" w:eastAsia="仿宋_GB2312" w:cs="仿宋"/>
          <w:sz w:val="32"/>
          <w:szCs w:val="32"/>
        </w:rPr>
        <w:t xml:space="preserve">  </w:t>
      </w:r>
    </w:p>
    <w:p>
      <w:pPr>
        <w:rPr>
          <w:rFonts w:hint="eastAsia"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1．一般公共服务（类）财政事务（款）行政运行（项）。年初预算为</w:t>
      </w:r>
      <w:r>
        <w:rPr>
          <w:rFonts w:hint="eastAsia" w:ascii="仿宋_GB2312" w:eastAsia="仿宋_GB2312" w:cs="仿宋"/>
          <w:sz w:val="32"/>
          <w:szCs w:val="32"/>
        </w:rPr>
        <w:t>0</w:t>
      </w:r>
      <w:r>
        <w:rPr>
          <w:rFonts w:hint="eastAsia" w:ascii="仿宋_GB2312" w:eastAsia="仿宋_GB2312" w:cs="仿宋"/>
          <w:sz w:val="32"/>
          <w:szCs w:val="32"/>
          <w:lang w:val="zh-CN"/>
        </w:rPr>
        <w:t>万元，支出决算为</w:t>
      </w:r>
      <w:r>
        <w:rPr>
          <w:rFonts w:hint="eastAsia" w:ascii="仿宋_GB2312" w:eastAsia="仿宋_GB2312" w:cs="仿宋"/>
          <w:sz w:val="32"/>
          <w:szCs w:val="32"/>
        </w:rPr>
        <w:t>46.79</w:t>
      </w:r>
      <w:r>
        <w:rPr>
          <w:rFonts w:hint="eastAsia" w:ascii="仿宋_GB2312" w:eastAsia="仿宋_GB2312" w:cs="仿宋"/>
          <w:sz w:val="32"/>
          <w:szCs w:val="32"/>
          <w:lang w:val="zh-CN"/>
        </w:rPr>
        <w:t>万元。决算数与年初预算数存在差异的主要原因是用于信息化建设（机房建设）、财政内网建设费用增加。</w:t>
      </w:r>
    </w:p>
    <w:p>
      <w:pPr>
        <w:rPr>
          <w:rFonts w:hint="eastAsia" w:ascii="仿宋_GB2312" w:eastAsia="仿宋_GB2312" w:cs="仿宋"/>
          <w:sz w:val="32"/>
          <w:szCs w:val="32"/>
          <w:lang w:val="zh-CN"/>
        </w:rPr>
      </w:pPr>
      <w:r>
        <w:rPr>
          <w:rFonts w:hint="eastAsia" w:ascii="仿宋_GB2312" w:eastAsia="仿宋_GB2312" w:cs="仿宋"/>
          <w:sz w:val="32"/>
          <w:szCs w:val="32"/>
          <w:lang w:val="zh-CN"/>
        </w:rPr>
        <w:t xml:space="preserve">  </w:t>
      </w:r>
      <w:r>
        <w:rPr>
          <w:rFonts w:hint="eastAsia" w:ascii="仿宋_GB2312" w:eastAsia="仿宋_GB2312" w:cs="仿宋"/>
          <w:sz w:val="32"/>
          <w:szCs w:val="32"/>
        </w:rPr>
        <w:t xml:space="preserve"> 2. 一般公共服务（类）财政事务（款）一般行政管理事务（项）年初预算为0万元，支出为4.69万元。</w:t>
      </w:r>
      <w:r>
        <w:rPr>
          <w:rFonts w:hint="eastAsia" w:ascii="仿宋_GB2312" w:eastAsia="仿宋_GB2312" w:cs="仿宋"/>
          <w:sz w:val="32"/>
          <w:szCs w:val="32"/>
          <w:lang w:val="zh-CN"/>
        </w:rPr>
        <w:t>决算数与年初预算数存在差异的主要原因是用于信息化建设（机房建设）、财政内网建设费用增加。</w:t>
      </w:r>
    </w:p>
    <w:p>
      <w:pPr>
        <w:ind w:firstLine="640" w:firstLineChars="200"/>
        <w:rPr>
          <w:rFonts w:hint="eastAsia" w:ascii="仿宋_GB2312" w:eastAsia="仿宋_GB2312" w:cs="仿宋"/>
          <w:sz w:val="32"/>
          <w:szCs w:val="32"/>
        </w:rPr>
      </w:pPr>
      <w:r>
        <w:rPr>
          <w:rFonts w:hint="eastAsia" w:ascii="仿宋_GB2312" w:eastAsia="仿宋_GB2312" w:cs="仿宋"/>
          <w:sz w:val="32"/>
          <w:szCs w:val="32"/>
        </w:rPr>
        <w:t>3．一般公共服务（类）财政事务（款）财政国库业务（项）。年初预算为237.25万元，支出决算为357.02万元，完成年初预算的150.48 %。决算数与年初预算数存在差异的主要原因是用于信息化建设（机房建设）、财政内网建设费用增加。</w:t>
      </w:r>
    </w:p>
    <w:p>
      <w:pPr>
        <w:ind w:firstLine="636"/>
        <w:rPr>
          <w:rFonts w:hint="eastAsia" w:ascii="仿宋_GB2312" w:eastAsia="仿宋_GB2312" w:cs="仿宋"/>
          <w:sz w:val="32"/>
          <w:szCs w:val="32"/>
        </w:rPr>
      </w:pPr>
      <w:r>
        <w:rPr>
          <w:rFonts w:hint="eastAsia" w:ascii="仿宋_GB2312" w:eastAsia="仿宋_GB2312" w:cs="仿宋"/>
          <w:sz w:val="32"/>
          <w:szCs w:val="32"/>
        </w:rPr>
        <w:t>4. 一般公共服务（类）财政事务（款）信息化建设（项）。年初预算为3万元，支出决算为3万元。</w:t>
      </w:r>
    </w:p>
    <w:p>
      <w:pPr>
        <w:rPr>
          <w:rFonts w:hint="eastAsia" w:ascii="仿宋_GB2312" w:eastAsia="仿宋_GB2312" w:cs="仿宋"/>
          <w:sz w:val="32"/>
          <w:szCs w:val="32"/>
          <w:lang w:val="zh-CN"/>
        </w:rPr>
      </w:pPr>
      <w:r>
        <w:rPr>
          <w:rFonts w:hint="eastAsia" w:ascii="仿宋_GB2312" w:eastAsia="仿宋_GB2312" w:cs="仿宋"/>
          <w:sz w:val="32"/>
          <w:szCs w:val="32"/>
        </w:rPr>
        <w:t>5. 一般公共服务（类）财政事务（款）财政委托业务支出（项）。年初预算44万元，支出决算为43.23万元。</w:t>
      </w:r>
      <w:r>
        <w:rPr>
          <w:rFonts w:hint="eastAsia" w:ascii="仿宋_GB2312" w:eastAsia="仿宋_GB2312" w:cs="仿宋"/>
          <w:sz w:val="32"/>
          <w:szCs w:val="32"/>
          <w:lang w:val="zh-CN"/>
        </w:rPr>
        <w:t>决算数与年初预算数存在差异的主要原因是用于信息化建设（机房建设）、财政内网建设费用增加。</w:t>
      </w:r>
    </w:p>
    <w:p>
      <w:pPr>
        <w:ind w:firstLine="640" w:firstLineChars="200"/>
        <w:rPr>
          <w:rFonts w:hint="eastAsia" w:ascii="仿宋_GB2312" w:eastAsia="仿宋_GB2312" w:cs="仿宋"/>
          <w:sz w:val="32"/>
          <w:szCs w:val="32"/>
        </w:rPr>
      </w:pPr>
      <w:r>
        <w:rPr>
          <w:rFonts w:hint="eastAsia" w:ascii="仿宋_GB2312" w:eastAsia="仿宋_GB2312" w:cs="仿宋"/>
          <w:sz w:val="32"/>
          <w:szCs w:val="32"/>
        </w:rPr>
        <w:t>6．社会保障和就业（类）行政事业单位离退休（款）未归口管理的行政单位离退休（项）。年初预算为2.16万元，支出决算为5.68万元。决算数与年初预算数存在差异的主要原因是退休人员支出增加。</w:t>
      </w:r>
    </w:p>
    <w:p>
      <w:pPr>
        <w:ind w:firstLine="640" w:firstLineChars="200"/>
        <w:rPr>
          <w:rFonts w:ascii="仿宋_GB2312" w:eastAsia="仿宋_GB2312" w:cs="仿宋"/>
          <w:sz w:val="32"/>
          <w:szCs w:val="32"/>
        </w:rPr>
      </w:pPr>
      <w:r>
        <w:rPr>
          <w:rFonts w:hint="eastAsia" w:ascii="仿宋_GB2312" w:eastAsia="仿宋_GB2312" w:cs="仿宋"/>
          <w:sz w:val="32"/>
          <w:szCs w:val="32"/>
        </w:rPr>
        <w:t>7. 社会保障和就业（类）行政事业单位离退休（款）事业单位离退休（项）。年初预算为1.01万元，支出决算为0.87。 决算数与年初预算数存在差异的主要原因是退休人员减少。</w:t>
      </w:r>
    </w:p>
    <w:p>
      <w:pPr>
        <w:ind w:firstLine="640" w:firstLineChars="200"/>
        <w:rPr>
          <w:rFonts w:ascii="仿宋_GB2312" w:eastAsia="仿宋_GB2312" w:cs="仿宋"/>
          <w:sz w:val="32"/>
          <w:szCs w:val="32"/>
        </w:rPr>
      </w:pPr>
      <w:r>
        <w:rPr>
          <w:rFonts w:hint="eastAsia" w:ascii="仿宋_GB2312" w:eastAsia="仿宋_GB2312" w:cs="仿宋"/>
          <w:sz w:val="32"/>
          <w:szCs w:val="32"/>
        </w:rPr>
        <w:t>8.卫生健康（类）行政事业单位医疗（款） 行政单位医疗（项）。年初预算为22.56万元，支出决算为22.56万元，完成年初预算的100%。</w:t>
      </w:r>
    </w:p>
    <w:p>
      <w:pPr>
        <w:ind w:firstLine="640" w:firstLineChars="200"/>
        <w:rPr>
          <w:rFonts w:ascii="仿宋_GB2312" w:eastAsia="仿宋_GB2312" w:cs="仿宋"/>
          <w:sz w:val="32"/>
          <w:szCs w:val="32"/>
        </w:rPr>
      </w:pPr>
      <w:r>
        <w:rPr>
          <w:rFonts w:hint="eastAsia" w:ascii="仿宋_GB2312" w:eastAsia="仿宋_GB2312" w:cs="仿宋"/>
          <w:sz w:val="32"/>
          <w:szCs w:val="32"/>
        </w:rPr>
        <w:t xml:space="preserve">9．住房保障（类）住房改革支出（款）住房公积金（项）。年初预算为20.82万元，支出决算为20.82万元，完成年初预算的100%。    </w:t>
      </w:r>
    </w:p>
    <w:p>
      <w:pPr>
        <w:ind w:firstLine="640" w:firstLineChars="200"/>
        <w:rPr>
          <w:rFonts w:ascii="仿宋_GB2312" w:eastAsia="仿宋_GB2312" w:cs="仿宋"/>
          <w:sz w:val="32"/>
          <w:szCs w:val="32"/>
          <w:lang w:val="zh-CN"/>
        </w:rPr>
      </w:pPr>
      <w:r>
        <w:rPr>
          <w:rFonts w:hint="eastAsia" w:ascii="仿宋_GB2312" w:eastAsia="仿宋_GB2312" w:cs="仿宋"/>
          <w:sz w:val="32"/>
          <w:szCs w:val="32"/>
          <w:lang w:val="zh-CN"/>
        </w:rPr>
        <w:t>六、一般公共预算财政拨款基本支出决算情况说明</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2020年度一般公共预算财政拨款基本支出</w:t>
      </w:r>
      <w:r>
        <w:rPr>
          <w:rFonts w:hint="eastAsia" w:ascii="仿宋_GB2312" w:eastAsia="仿宋_GB2312" w:cs="仿宋"/>
          <w:sz w:val="32"/>
          <w:szCs w:val="32"/>
        </w:rPr>
        <w:t>356.05</w:t>
      </w:r>
      <w:r>
        <w:rPr>
          <w:rFonts w:hint="eastAsia" w:ascii="仿宋_GB2312" w:eastAsia="仿宋_GB2312" w:cs="仿宋"/>
          <w:sz w:val="32"/>
          <w:szCs w:val="32"/>
          <w:lang w:val="zh-CN"/>
        </w:rPr>
        <w:t>万元。其中：人员经费</w:t>
      </w:r>
      <w:r>
        <w:rPr>
          <w:rFonts w:ascii="仿宋_GB2312" w:eastAsia="仿宋_GB2312" w:cs="仿宋"/>
          <w:sz w:val="32"/>
          <w:szCs w:val="32"/>
        </w:rPr>
        <w:t>343.61</w:t>
      </w:r>
      <w:r>
        <w:rPr>
          <w:rFonts w:hint="eastAsia" w:ascii="仿宋_GB2312" w:eastAsia="仿宋_GB2312" w:cs="仿宋"/>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cs="仿宋"/>
          <w:sz w:val="32"/>
          <w:szCs w:val="32"/>
        </w:rPr>
        <w:t>12.44</w:t>
      </w:r>
      <w:r>
        <w:rPr>
          <w:rFonts w:hint="eastAsia" w:ascii="仿宋_GB2312" w:eastAsia="仿宋_GB2312" w:cs="仿宋"/>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七、一般公共预算财政拨款</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经费支出决算情况说明</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（一）</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经费财政拨款支出决算总体情况说明。</w:t>
      </w:r>
    </w:p>
    <w:p>
      <w:pPr>
        <w:ind w:firstLine="640" w:firstLineChars="200"/>
        <w:rPr>
          <w:rFonts w:ascii="仿宋_GB2312" w:eastAsia="仿宋_GB2312" w:cs="仿宋"/>
          <w:sz w:val="32"/>
          <w:szCs w:val="32"/>
          <w:lang w:val="zh-CN"/>
        </w:rPr>
      </w:pPr>
      <w:r>
        <w:rPr>
          <w:rFonts w:hint="eastAsia" w:ascii="仿宋_GB2312" w:eastAsia="仿宋_GB2312" w:cs="仿宋"/>
          <w:sz w:val="32"/>
          <w:szCs w:val="32"/>
        </w:rPr>
        <w:t>2020</w:t>
      </w:r>
      <w:r>
        <w:rPr>
          <w:rFonts w:hint="eastAsia" w:ascii="仿宋_GB2312" w:eastAsia="仿宋_GB2312" w:cs="仿宋"/>
          <w:sz w:val="32"/>
          <w:szCs w:val="32"/>
          <w:lang w:val="zh-CN"/>
        </w:rPr>
        <w:t>年度</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经费财政拨款支出预算为1.5万元，支出决算为0.33万元，完成预算的22%。</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（二）</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经费财政拨款支出决算具体情况说明。</w:t>
      </w:r>
    </w:p>
    <w:p>
      <w:pPr>
        <w:ind w:firstLine="640" w:firstLineChars="200"/>
        <w:rPr>
          <w:rFonts w:ascii="仿宋_GB2312" w:eastAsia="仿宋_GB2312" w:cs="仿宋"/>
          <w:sz w:val="32"/>
          <w:szCs w:val="32"/>
          <w:lang w:val="zh-CN"/>
        </w:rPr>
      </w:pPr>
      <w:r>
        <w:rPr>
          <w:rFonts w:hint="eastAsia" w:ascii="仿宋_GB2312" w:eastAsia="仿宋_GB2312" w:cs="仿宋"/>
          <w:sz w:val="32"/>
          <w:szCs w:val="32"/>
          <w:lang w:val="zh-CN"/>
        </w:rPr>
        <w:t>2020年度</w:t>
      </w:r>
      <w:r>
        <w:rPr>
          <w:rFonts w:ascii="仿宋_GB2312" w:eastAsia="仿宋_GB2312" w:cs="仿宋"/>
          <w:sz w:val="32"/>
          <w:szCs w:val="32"/>
          <w:lang w:val="zh-CN"/>
        </w:rPr>
        <w:t>“</w:t>
      </w:r>
      <w:r>
        <w:rPr>
          <w:rFonts w:hint="eastAsia" w:ascii="仿宋_GB2312" w:eastAsia="仿宋_GB2312" w:cs="仿宋"/>
          <w:sz w:val="32"/>
          <w:szCs w:val="32"/>
          <w:lang w:val="zh-CN"/>
        </w:rPr>
        <w:t>三公</w:t>
      </w:r>
      <w:r>
        <w:rPr>
          <w:rFonts w:ascii="仿宋_GB2312" w:eastAsia="仿宋_GB2312" w:cs="仿宋"/>
          <w:sz w:val="32"/>
          <w:szCs w:val="32"/>
          <w:lang w:val="zh-CN"/>
        </w:rPr>
        <w:t>”</w:t>
      </w:r>
      <w:r>
        <w:rPr>
          <w:rFonts w:hint="eastAsia" w:ascii="仿宋_GB2312" w:eastAsia="仿宋_GB2312" w:cs="仿宋"/>
          <w:sz w:val="32"/>
          <w:szCs w:val="32"/>
          <w:lang w:val="zh-CN"/>
        </w:rPr>
        <w:t>经费财政拨款支出决算中，因公出国（境）费支出决算0万元，完成预算的0%，占0%；公务用车购置及运行费支出决算0.33万元，完成预算的22%，占0%；公务接待费支出决算0万元，完成预算的0%，占0%。具体情况如下：</w:t>
      </w:r>
    </w:p>
    <w:p>
      <w:pPr>
        <w:widowControl/>
        <w:ind w:firstLine="640" w:firstLineChars="200"/>
        <w:rPr>
          <w:rFonts w:ascii="仿宋_GB2312" w:eastAsia="仿宋_GB2312" w:cs="仿宋"/>
          <w:sz w:val="32"/>
          <w:szCs w:val="32"/>
          <w:lang w:val="zh-CN"/>
        </w:rPr>
      </w:pPr>
      <w:r>
        <w:rPr>
          <w:rFonts w:hint="eastAsia" w:ascii="仿宋_GB2312" w:eastAsia="仿宋_GB2312" w:cs="仿宋"/>
          <w:sz w:val="32"/>
          <w:szCs w:val="32"/>
          <w:lang w:val="zh-CN"/>
        </w:rPr>
        <w:t xml:space="preserve">因公出国（境）费年初预算为0万元，支出决算为0万元，完成年初预算的0%。全年因公出国（境）团组0个，累计0人次。                       </w:t>
      </w:r>
    </w:p>
    <w:p>
      <w:pPr>
        <w:widowControl/>
        <w:ind w:firstLine="640" w:firstLineChars="200"/>
        <w:rPr>
          <w:rFonts w:ascii="仿宋_GB2312" w:hAnsi="仿宋_GB2312" w:eastAsia="仿宋_GB2312" w:cs="仿宋_GB2312"/>
          <w:sz w:val="32"/>
          <w:szCs w:val="32"/>
        </w:rPr>
      </w:pPr>
      <w:r>
        <w:rPr>
          <w:rFonts w:hint="eastAsia" w:ascii="仿宋_GB2312" w:eastAsia="仿宋_GB2312" w:cs="仿宋"/>
          <w:sz w:val="32"/>
          <w:szCs w:val="32"/>
          <w:lang w:val="zh-CN"/>
        </w:rPr>
        <w:t>2．公务用车购置及运行费初预算为0万元，支出决算为0万元，完成年初预算的0%。</w:t>
      </w:r>
      <w:r>
        <w:rPr>
          <w:rFonts w:hint="eastAsia" w:ascii="仿宋_GB2312" w:hAnsi="仿宋_GB2312" w:eastAsia="仿宋_GB2312" w:cs="仿宋_GB2312"/>
          <w:sz w:val="32"/>
          <w:szCs w:val="32"/>
        </w:rPr>
        <w:t>2020年期末，部门开支财政拨款的公务用车保有量为0辆。</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公务用车购置支出为0万元，购置车辆0辆。</w:t>
      </w:r>
    </w:p>
    <w:p>
      <w:pPr>
        <w:widowControl/>
        <w:ind w:firstLine="640" w:firstLineChars="200"/>
        <w:rPr>
          <w:rFonts w:ascii="仿宋_GB2312" w:eastAsia="仿宋_GB2312" w:cs="仿宋"/>
          <w:sz w:val="32"/>
          <w:szCs w:val="32"/>
          <w:lang w:val="zh-CN"/>
        </w:rPr>
      </w:pPr>
      <w:r>
        <w:rPr>
          <w:rFonts w:hint="eastAsia" w:ascii="仿宋_GB2312" w:eastAsia="仿宋_GB2312" w:cs="仿宋"/>
          <w:sz w:val="32"/>
          <w:szCs w:val="32"/>
          <w:lang w:val="zh-CN"/>
        </w:rPr>
        <w:t>3.公务接待费初预算为0万元，支出决算为0万元，完成年初预算的0%。</w:t>
      </w:r>
    </w:p>
    <w:p>
      <w:pPr>
        <w:widowControl/>
        <w:ind w:firstLine="640" w:firstLineChars="200"/>
        <w:rPr>
          <w:rFonts w:ascii="仿宋_GB2312" w:eastAsia="仿宋_GB2312" w:cs="仿宋"/>
          <w:sz w:val="32"/>
          <w:szCs w:val="32"/>
          <w:lang w:val="zh-CN"/>
        </w:rPr>
      </w:pPr>
      <w:r>
        <w:rPr>
          <w:rFonts w:hint="eastAsia" w:ascii="仿宋_GB2312" w:eastAsia="仿宋_GB2312" w:cs="仿宋"/>
          <w:sz w:val="32"/>
          <w:szCs w:val="32"/>
          <w:lang w:val="zh-CN"/>
        </w:rPr>
        <w:t>外宾接待支出0万元。2020年共接待国（境）外来访团组0个、来访外宾0人次（不包括陪同人员）。</w:t>
      </w:r>
    </w:p>
    <w:p>
      <w:pPr>
        <w:rPr>
          <w:rFonts w:ascii="仿宋_GB2312" w:eastAsia="仿宋_GB2312" w:cs="仿宋"/>
          <w:sz w:val="32"/>
          <w:szCs w:val="32"/>
          <w:lang w:val="zh-CN"/>
        </w:rPr>
      </w:pPr>
      <w:r>
        <w:rPr>
          <w:rFonts w:hint="eastAsia" w:ascii="仿宋_GB2312" w:eastAsia="仿宋_GB2312" w:cs="仿宋"/>
          <w:sz w:val="32"/>
          <w:szCs w:val="32"/>
          <w:lang w:val="zh-CN"/>
        </w:rPr>
        <w:t>其他国内公务接待支出0万元。</w:t>
      </w:r>
      <w:r>
        <w:rPr>
          <w:rFonts w:hint="eastAsia" w:ascii="仿宋_GB2312" w:hAnsi="仿宋_GB2312" w:eastAsia="仿宋_GB2312" w:cs="仿宋_GB2312"/>
          <w:sz w:val="32"/>
          <w:szCs w:val="32"/>
        </w:rPr>
        <w:t>2020年共接待国内来访团组0个、来宾0人次（不包括陪同人员）。</w:t>
      </w:r>
    </w:p>
    <w:p>
      <w:pPr>
        <w:ind w:firstLine="640" w:firstLineChars="200"/>
        <w:rPr>
          <w:rFonts w:ascii="仿宋_GB2312" w:eastAsia="仿宋_GB2312" w:cs="仿宋"/>
          <w:sz w:val="32"/>
          <w:szCs w:val="32"/>
          <w:lang w:val="zh-CN"/>
        </w:rPr>
      </w:pPr>
      <w:r>
        <w:rPr>
          <w:rFonts w:hint="eastAsia" w:ascii="仿宋_GB2312" w:eastAsia="仿宋_GB2312" w:cs="仿宋"/>
          <w:sz w:val="32"/>
          <w:szCs w:val="32"/>
          <w:lang w:val="zh-CN"/>
        </w:rPr>
        <w:t>八、预算绩效情况说明</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（一）绩效管理工作开展情况。</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我单位2020年预算项目均按要求编制了绩效目标，综合反映项目预期完成的数量、质量、时效、成本，预期达到的经济效益、社会效益、生态效益、可持续发展影响及服务对象满意度等情况。</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（二）项目绩效自评结果。</w:t>
      </w:r>
    </w:p>
    <w:p>
      <w:pPr>
        <w:ind w:firstLine="640" w:firstLineChars="200"/>
        <w:outlineLvl w:val="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支付全年投资评审中心委托造价咨询公司对项目评审服务费。增强了地区实力，提高了区造价水平；有效防止国有资产流失</w:t>
      </w:r>
      <w:r>
        <w:rPr>
          <w:rFonts w:hint="eastAsia" w:ascii="仿宋_GB2312" w:eastAsia="仿宋_GB2312"/>
          <w:color w:val="000000"/>
          <w:sz w:val="32"/>
          <w:szCs w:val="32"/>
        </w:rPr>
        <w:t>；提高了工作效率，完善了资产管理，加强决策支持力度；同时降低了资产信息管理系统故障发生量，保证了资产管理的安全性。</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（三）以部门为主体开展的重点绩效评价结果。</w:t>
      </w:r>
    </w:p>
    <w:p>
      <w:pPr>
        <w:ind w:firstLine="640" w:firstLineChars="200"/>
        <w:outlineLvl w:val="0"/>
        <w:rPr>
          <w:rFonts w:ascii="仿宋_GB2312" w:eastAsia="仿宋_GB2312" w:cs="仿宋"/>
          <w:sz w:val="32"/>
          <w:szCs w:val="32"/>
        </w:rPr>
      </w:pPr>
      <w:r>
        <w:rPr>
          <w:rFonts w:hint="eastAsia" w:ascii="仿宋_GB2312" w:eastAsia="仿宋_GB2312" w:cs="黑体"/>
          <w:sz w:val="32"/>
          <w:szCs w:val="32"/>
        </w:rPr>
        <w:t>确保</w:t>
      </w:r>
      <w:r>
        <w:rPr>
          <w:rFonts w:hint="eastAsia" w:ascii="仿宋_GB2312" w:hAnsi="Calibri" w:eastAsia="仿宋_GB2312" w:cs="Times New Roman"/>
          <w:color w:val="000000"/>
          <w:sz w:val="32"/>
          <w:szCs w:val="32"/>
        </w:rPr>
        <w:t>人员工资及单位运转、厉行节约减少“三公经费”支出</w:t>
      </w:r>
      <w:r>
        <w:rPr>
          <w:rFonts w:hint="eastAsia" w:ascii="仿宋_GB2312" w:eastAsia="仿宋_GB2312"/>
          <w:color w:val="000000"/>
          <w:sz w:val="32"/>
          <w:szCs w:val="32"/>
        </w:rPr>
        <w:t>，同时</w:t>
      </w:r>
      <w:r>
        <w:rPr>
          <w:rFonts w:hint="eastAsia" w:ascii="仿宋_GB2312" w:hAnsi="Calibri" w:eastAsia="仿宋_GB2312" w:cs="Times New Roman"/>
          <w:color w:val="000000"/>
          <w:sz w:val="32"/>
          <w:szCs w:val="32"/>
        </w:rPr>
        <w:t>保障机关正常运转、保障财政专网的线路连接与畅通机房各网络设备和各财政业务系统的正常运行</w:t>
      </w:r>
      <w:r>
        <w:rPr>
          <w:rFonts w:hint="eastAsia" w:ascii="仿宋_GB2312" w:eastAsia="仿宋_GB2312"/>
          <w:color w:val="000000"/>
          <w:sz w:val="32"/>
          <w:szCs w:val="32"/>
        </w:rPr>
        <w:t>。</w:t>
      </w:r>
      <w:r>
        <w:rPr>
          <w:rFonts w:hint="eastAsia" w:ascii="仿宋_GB2312" w:hAnsi="Calibri" w:eastAsia="仿宋_GB2312" w:cs="Times New Roman"/>
          <w:color w:val="000000"/>
          <w:sz w:val="32"/>
          <w:szCs w:val="32"/>
        </w:rPr>
        <w:tab/>
      </w:r>
      <w:r>
        <w:rPr>
          <w:rFonts w:hint="eastAsia" w:ascii="仿宋_GB2312" w:hAnsi="Calibri" w:eastAsia="仿宋_GB2312" w:cs="Times New Roman"/>
          <w:color w:val="000000"/>
          <w:sz w:val="32"/>
          <w:szCs w:val="32"/>
        </w:rPr>
        <w:tab/>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九、政府性基金预算财政拨款支出决算情况说明</w:t>
      </w:r>
    </w:p>
    <w:p>
      <w:pPr>
        <w:ind w:firstLine="640" w:firstLineChars="200"/>
        <w:rPr>
          <w:rFonts w:ascii="仿宋_GB2312" w:eastAsia="仿宋_GB2312" w:cs="仿宋"/>
          <w:sz w:val="32"/>
          <w:szCs w:val="32"/>
          <w:lang w:val="zh-CN"/>
        </w:rPr>
      </w:pPr>
      <w:r>
        <w:rPr>
          <w:rFonts w:hint="eastAsia" w:ascii="仿宋_GB2312" w:eastAsia="仿宋_GB2312" w:cs="仿宋"/>
          <w:sz w:val="32"/>
          <w:szCs w:val="32"/>
          <w:lang w:val="zh-CN"/>
        </w:rPr>
        <w:t>2020年度政府性基金预算财政拨款支出年初预算为0万元，支出决算为0万元，完成年初预算的0%。</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十、机关运行经费支出情况说明</w:t>
      </w:r>
    </w:p>
    <w:p>
      <w:pPr>
        <w:ind w:firstLine="640" w:firstLineChars="200"/>
        <w:rPr>
          <w:rFonts w:ascii="仿宋_GB2312" w:eastAsia="仿宋_GB2312" w:cs="仿宋"/>
          <w:sz w:val="32"/>
          <w:szCs w:val="32"/>
          <w:lang w:val="zh-CN"/>
        </w:rPr>
      </w:pPr>
      <w:r>
        <w:rPr>
          <w:rFonts w:hint="eastAsia" w:ascii="仿宋_GB2312" w:eastAsia="仿宋_GB2312" w:cs="仿宋"/>
          <w:sz w:val="32"/>
          <w:szCs w:val="32"/>
          <w:lang w:val="zh-CN"/>
        </w:rPr>
        <w:t>2020年机关运行经费支出12.44万元，201</w:t>
      </w:r>
      <w:r>
        <w:rPr>
          <w:rFonts w:hint="eastAsia" w:ascii="仿宋_GB2312" w:eastAsia="仿宋_GB2312" w:cs="仿宋"/>
          <w:sz w:val="32"/>
          <w:szCs w:val="32"/>
        </w:rPr>
        <w:t>9</w:t>
      </w:r>
      <w:r>
        <w:rPr>
          <w:rFonts w:hint="eastAsia" w:ascii="仿宋_GB2312" w:eastAsia="仿宋_GB2312" w:cs="仿宋"/>
          <w:sz w:val="32"/>
          <w:szCs w:val="32"/>
          <w:lang w:val="zh-CN"/>
        </w:rPr>
        <w:t>年机关运行经费支出</w:t>
      </w:r>
      <w:r>
        <w:rPr>
          <w:rFonts w:hint="eastAsia" w:ascii="仿宋_GB2312" w:eastAsia="仿宋_GB2312" w:cs="仿宋"/>
          <w:sz w:val="32"/>
          <w:szCs w:val="32"/>
        </w:rPr>
        <w:t>32.94</w:t>
      </w:r>
      <w:r>
        <w:rPr>
          <w:rFonts w:hint="eastAsia" w:ascii="仿宋_GB2312" w:eastAsia="仿宋_GB2312" w:cs="仿宋"/>
          <w:sz w:val="32"/>
          <w:szCs w:val="32"/>
          <w:lang w:val="zh-CN"/>
        </w:rPr>
        <w:t>万元。20</w:t>
      </w:r>
      <w:r>
        <w:rPr>
          <w:rFonts w:hint="eastAsia" w:ascii="仿宋_GB2312" w:eastAsia="仿宋_GB2312" w:cs="仿宋"/>
          <w:sz w:val="32"/>
          <w:szCs w:val="32"/>
        </w:rPr>
        <w:t>20</w:t>
      </w:r>
      <w:r>
        <w:rPr>
          <w:rFonts w:hint="eastAsia" w:ascii="仿宋_GB2312" w:eastAsia="仿宋_GB2312" w:cs="仿宋"/>
          <w:sz w:val="32"/>
          <w:szCs w:val="32"/>
          <w:lang w:val="zh-CN"/>
        </w:rPr>
        <w:t>年相比去年减少20.5万元。其中2020年福利费支出3.08万元，工会经费2.</w:t>
      </w:r>
      <w:r>
        <w:rPr>
          <w:rFonts w:hint="eastAsia" w:ascii="仿宋_GB2312" w:eastAsia="仿宋_GB2312" w:cs="仿宋"/>
          <w:sz w:val="32"/>
          <w:szCs w:val="32"/>
        </w:rPr>
        <w:t>88</w:t>
      </w:r>
      <w:r>
        <w:rPr>
          <w:rFonts w:hint="eastAsia" w:ascii="仿宋_GB2312" w:eastAsia="仿宋_GB2312" w:cs="仿宋"/>
          <w:sz w:val="32"/>
          <w:szCs w:val="32"/>
          <w:lang w:val="zh-CN"/>
        </w:rPr>
        <w:t>万元，其它商品和服务支出1.82万元。</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color w:val="C00000"/>
          <w:sz w:val="32"/>
          <w:szCs w:val="32"/>
        </w:rPr>
        <w:t xml:space="preserve">  </w:t>
      </w:r>
      <w:r>
        <w:rPr>
          <w:rFonts w:hint="eastAsia" w:ascii="仿宋_GB2312" w:eastAsia="仿宋_GB2312" w:cs="仿宋"/>
          <w:sz w:val="32"/>
          <w:szCs w:val="32"/>
          <w:lang w:val="zh-CN"/>
        </w:rPr>
        <w:t>十一、政府采购支出情况说明</w:t>
      </w:r>
    </w:p>
    <w:p>
      <w:pPr>
        <w:adjustRightInd w:val="0"/>
        <w:snapToGrid w:val="0"/>
        <w:spacing w:line="360" w:lineRule="auto"/>
        <w:ind w:firstLine="643"/>
        <w:rPr>
          <w:rFonts w:ascii="仿宋_GB2312" w:eastAsia="仿宋_GB2312" w:cs="仿宋"/>
          <w:sz w:val="32"/>
          <w:szCs w:val="32"/>
          <w:lang w:val="zh-CN"/>
        </w:rPr>
      </w:pPr>
      <w:r>
        <w:rPr>
          <w:rFonts w:hint="eastAsia" w:ascii="仿宋_GB2312" w:hAnsi="仿宋_GB2312" w:eastAsia="仿宋_GB2312" w:cs="仿宋_GB2312"/>
          <w:color w:val="333333"/>
          <w:sz w:val="32"/>
          <w:szCs w:val="32"/>
          <w:shd w:val="clear" w:color="auto" w:fill="FFFFFF"/>
        </w:rPr>
        <w:t>2020年政府采购支出总计</w:t>
      </w:r>
      <w:r>
        <w:rPr>
          <w:rFonts w:hint="eastAsia" w:ascii="仿宋_GB2312" w:hAnsi="仿宋_GB2312" w:eastAsia="仿宋_GB2312" w:cs="仿宋_GB2312"/>
          <w:sz w:val="32"/>
          <w:szCs w:val="32"/>
        </w:rPr>
        <w:t>0</w:t>
      </w:r>
      <w:r>
        <w:rPr>
          <w:rFonts w:hint="eastAsia" w:ascii="仿宋_GB2312" w:hAnsi="仿宋_GB2312" w:eastAsia="仿宋_GB2312" w:cs="仿宋_GB2312"/>
          <w:color w:val="333333"/>
          <w:sz w:val="32"/>
          <w:szCs w:val="32"/>
          <w:shd w:val="clear" w:color="auto" w:fill="FFFFFF"/>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333333"/>
          <w:sz w:val="32"/>
          <w:szCs w:val="32"/>
          <w:shd w:val="clear" w:color="auto" w:fill="FFFFFF"/>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333333"/>
          <w:sz w:val="32"/>
          <w:szCs w:val="32"/>
          <w:shd w:val="clear" w:color="auto" w:fill="FFFFFF"/>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333333"/>
          <w:sz w:val="32"/>
          <w:szCs w:val="32"/>
          <w:shd w:val="clear" w:color="auto" w:fill="FFFFFF"/>
        </w:rPr>
        <w:t>万元。</w:t>
      </w:r>
    </w:p>
    <w:p>
      <w:pPr>
        <w:rPr>
          <w:rFonts w:ascii="仿宋_GB2312" w:eastAsia="仿宋_GB2312" w:cs="仿宋"/>
          <w:sz w:val="32"/>
          <w:szCs w:val="32"/>
          <w:lang w:val="zh-CN"/>
        </w:rPr>
      </w:pPr>
      <w:r>
        <w:rPr>
          <w:rFonts w:hint="eastAsia" w:ascii="仿宋_GB2312" w:eastAsia="仿宋_GB2312" w:cs="仿宋"/>
          <w:sz w:val="32"/>
          <w:szCs w:val="32"/>
        </w:rPr>
        <w:t xml:space="preserve">  </w:t>
      </w:r>
      <w:r>
        <w:rPr>
          <w:rFonts w:hint="eastAsia" w:ascii="仿宋_GB2312" w:eastAsia="仿宋_GB2312" w:cs="仿宋"/>
          <w:color w:val="C00000"/>
          <w:sz w:val="32"/>
          <w:szCs w:val="32"/>
        </w:rPr>
        <w:t xml:space="preserve">  </w:t>
      </w:r>
      <w:r>
        <w:rPr>
          <w:rFonts w:hint="eastAsia" w:ascii="仿宋_GB2312" w:eastAsia="仿宋_GB2312" w:cs="仿宋"/>
          <w:sz w:val="32"/>
          <w:szCs w:val="32"/>
          <w:lang w:val="zh-CN"/>
        </w:rPr>
        <w:t>十二、国有资产占用情况说明</w:t>
      </w:r>
    </w:p>
    <w:p>
      <w:pPr>
        <w:rPr>
          <w:rFonts w:ascii="宋体" w:hAnsi="宋体"/>
          <w:sz w:val="18"/>
          <w:lang w:val="zh-CN"/>
        </w:rPr>
      </w:pPr>
      <w:r>
        <w:rPr>
          <w:rFonts w:hint="eastAsia" w:ascii="仿宋_GB2312" w:eastAsia="仿宋_GB2312" w:cs="仿宋"/>
          <w:sz w:val="32"/>
          <w:szCs w:val="32"/>
        </w:rPr>
        <w:t xml:space="preserve">    </w:t>
      </w:r>
      <w:r>
        <w:rPr>
          <w:rFonts w:hint="eastAsia" w:ascii="仿宋_GB2312" w:eastAsia="仿宋_GB2312" w:cs="仿宋"/>
          <w:sz w:val="32"/>
          <w:szCs w:val="32"/>
          <w:lang w:val="zh-CN"/>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autoSpaceDE w:val="0"/>
        <w:autoSpaceDN w:val="0"/>
        <w:adjustRightInd w:val="0"/>
        <w:rPr>
          <w:rFonts w:ascii="仿宋_GB2312" w:eastAsia="仿宋_GB2312" w:cs="仿宋"/>
          <w:sz w:val="32"/>
          <w:szCs w:val="32"/>
        </w:rPr>
        <w:sectPr>
          <w:pgSz w:w="11906" w:h="16838"/>
          <w:pgMar w:top="1440" w:right="1800" w:bottom="1440" w:left="1800" w:header="720" w:footer="720" w:gutter="0"/>
          <w:pgNumType w:fmt="numberInDash"/>
          <w:cols w:space="720" w:num="1"/>
          <w:docGrid w:type="lines" w:linePitch="312" w:charSpace="0"/>
        </w:sectPr>
      </w:pPr>
      <w:r>
        <w:rPr>
          <w:rFonts w:hint="eastAsia" w:ascii="仿宋_GB2312" w:eastAsia="仿宋_GB2312" w:cs="黑体"/>
          <w:sz w:val="32"/>
          <w:szCs w:val="32"/>
        </w:rPr>
        <w:t xml:space="preserve"> </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jc w:val="left"/>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6" o:spid="_x0000_s1026" o:spt="202" type="#_x0000_t202" style="position:absolute;left:0pt;margin-top:0pt;height:20.7pt;width:19.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w:r>
    <w:r>
      <w:pict>
        <v:shape id="文本框 1027" o:spid="_x0000_s1025" o:spt="202" type="#_x0000_t202" style="position:absolute;left:0pt;margin-top:0pt;height:12.05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7" o:spid="_x0000_s1027" o:spt="202" type="#_x0000_t202" style="position:absolute;left:0pt;margin-top:0pt;height:20.7pt;width:19.5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F7531"/>
    <w:rsid w:val="000811B0"/>
    <w:rsid w:val="00095293"/>
    <w:rsid w:val="000B038B"/>
    <w:rsid w:val="000B3619"/>
    <w:rsid w:val="000D31A1"/>
    <w:rsid w:val="000E4607"/>
    <w:rsid w:val="001B48FB"/>
    <w:rsid w:val="001C7A37"/>
    <w:rsid w:val="00250485"/>
    <w:rsid w:val="002837B5"/>
    <w:rsid w:val="002D3DC0"/>
    <w:rsid w:val="002F350D"/>
    <w:rsid w:val="00314032"/>
    <w:rsid w:val="00356C02"/>
    <w:rsid w:val="00451A9A"/>
    <w:rsid w:val="0048200C"/>
    <w:rsid w:val="004A7607"/>
    <w:rsid w:val="004D0DCD"/>
    <w:rsid w:val="00523733"/>
    <w:rsid w:val="005D1640"/>
    <w:rsid w:val="005F4650"/>
    <w:rsid w:val="0070366E"/>
    <w:rsid w:val="0073333D"/>
    <w:rsid w:val="007861A0"/>
    <w:rsid w:val="007C0445"/>
    <w:rsid w:val="00851BCC"/>
    <w:rsid w:val="00856B1C"/>
    <w:rsid w:val="008D004C"/>
    <w:rsid w:val="008D5167"/>
    <w:rsid w:val="00912581"/>
    <w:rsid w:val="009133A6"/>
    <w:rsid w:val="00940F3B"/>
    <w:rsid w:val="009A7AEE"/>
    <w:rsid w:val="00A13AB2"/>
    <w:rsid w:val="00A30007"/>
    <w:rsid w:val="00AF660D"/>
    <w:rsid w:val="00BB7AB8"/>
    <w:rsid w:val="00C02944"/>
    <w:rsid w:val="00CF7531"/>
    <w:rsid w:val="00D070D9"/>
    <w:rsid w:val="00D4391F"/>
    <w:rsid w:val="00D83422"/>
    <w:rsid w:val="00DF346B"/>
    <w:rsid w:val="00E2601A"/>
    <w:rsid w:val="00E573AB"/>
    <w:rsid w:val="00E62D85"/>
    <w:rsid w:val="00E66312"/>
    <w:rsid w:val="00E9732B"/>
    <w:rsid w:val="00EA474F"/>
    <w:rsid w:val="00F075AF"/>
    <w:rsid w:val="00F26F72"/>
    <w:rsid w:val="00F31318"/>
    <w:rsid w:val="0D1A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0"/>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sz w:val="18"/>
      <w:szCs w:val="18"/>
    </w:rPr>
  </w:style>
  <w:style w:type="character" w:customStyle="1" w:styleId="8">
    <w:name w:val="页脚 Char"/>
    <w:basedOn w:val="6"/>
    <w:link w:val="3"/>
    <w:uiPriority w:val="0"/>
    <w:rPr>
      <w:sz w:val="18"/>
      <w:szCs w:val="18"/>
    </w:rPr>
  </w:style>
  <w:style w:type="character" w:customStyle="1" w:styleId="9">
    <w:name w:val="日期 Char"/>
    <w:basedOn w:val="6"/>
    <w:link w:val="2"/>
    <w:semiHidden/>
    <w:uiPriority w:val="99"/>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1978</Words>
  <Characters>11278</Characters>
  <Lines>93</Lines>
  <Paragraphs>26</Paragraphs>
  <TotalTime>0</TotalTime>
  <ScaleCrop>false</ScaleCrop>
  <LinksUpToDate>false</LinksUpToDate>
  <CharactersWithSpaces>13230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2021-09-13T09:45:00Z</dcterms:created>
  <dc:creator>Administrator</dc:creator>
  <cp:lastModifiedBy>Administrator</cp:lastModifiedBy>
  <dcterms:modified xsi:type="dcterms:W3CDTF">2021-09-24T09:05:48Z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