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2020年度</w:t>
      </w:r>
    </w:p>
    <w:p>
      <w:pPr>
        <w:jc w:val="center"/>
        <w:rPr>
          <w:rFonts w:ascii="黑体" w:hAnsi="黑体" w:eastAsia="黑体" w:cs="黑体"/>
          <w:sz w:val="52"/>
          <w:szCs w:val="52"/>
        </w:rPr>
      </w:pPr>
      <w:r>
        <w:rPr>
          <w:rFonts w:hint="eastAsia" w:ascii="黑体" w:hAnsi="黑体" w:eastAsia="黑体" w:cs="黑体"/>
          <w:sz w:val="52"/>
          <w:szCs w:val="52"/>
        </w:rPr>
        <w:t>洛阳市老城区教育系统部门决算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sectPr>
          <w:headerReference r:id="rId4" w:type="default"/>
          <w:pgSz w:w="11906" w:h="16838"/>
          <w:pgMar w:top="1440" w:right="1531" w:bottom="1440" w:left="1587" w:header="850" w:footer="992" w:gutter="0"/>
          <w:pgNumType w:fmt="numberInDash"/>
          <w:cols w:space="720" w:num="1"/>
          <w:docGrid w:type="lines" w:linePitch="317"/>
        </w:sectPr>
      </w:pPr>
      <w:r>
        <w:rPr>
          <w:rFonts w:hint="eastAsia" w:ascii="黑体" w:hAnsi="黑体" w:eastAsia="黑体" w:cs="黑体"/>
          <w:sz w:val="32"/>
          <w:szCs w:val="32"/>
        </w:rPr>
        <w:t>二〇二一年九月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洛阳市老城区教育系统概况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2020年度部门决算情况说明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黑体" w:hAnsi="黑体" w:eastAsia="黑体" w:cs="黑体"/>
          <w:sz w:val="32"/>
          <w:szCs w:val="32"/>
        </w:rPr>
      </w:pPr>
      <w:r>
        <w:rPr>
          <w:rFonts w:hint="eastAsia" w:ascii="宋体" w:hAnsi="宋体" w:cs="宋体"/>
          <w:sz w:val="32"/>
          <w:szCs w:val="32"/>
        </w:rPr>
        <w:t>十二、国有资产占用情况说明</w:t>
      </w:r>
    </w:p>
    <w:p>
      <w:pPr>
        <w:jc w:val="left"/>
        <w:rPr>
          <w:rFonts w:ascii="宋体" w:hAnsi="宋体" w:cs="宋体"/>
          <w:sz w:val="32"/>
          <w:szCs w:val="32"/>
        </w:rPr>
      </w:pPr>
      <w:r>
        <w:rPr>
          <w:rFonts w:hint="eastAsia" w:ascii="黑体" w:hAnsi="黑体" w:eastAsia="黑体" w:cs="黑体"/>
          <w:sz w:val="32"/>
          <w:szCs w:val="32"/>
        </w:rPr>
        <w:t>第四部分　　名词解释</w:t>
      </w:r>
    </w:p>
    <w:p>
      <w:pPr>
        <w:jc w:val="left"/>
        <w:sectPr>
          <w:footerReference r:id="rId5" w:type="default"/>
          <w:footerReference r:id="rId6" w:type="even"/>
          <w:pgSz w:w="11906" w:h="16838"/>
          <w:pgMar w:top="1440" w:right="1531" w:bottom="1440" w:left="1587" w:header="850" w:footer="992" w:gutter="0"/>
          <w:pgNumType w:fmt="numberInDash" w:start="1"/>
          <w:cols w:space="720" w:num="1"/>
          <w:docGrid w:type="lines" w:linePitch="317"/>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第一部分  洛阳市老城区教育系统概况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rPr>
          <w:rFonts w:ascii="黑体" w:hAnsi="宋体" w:eastAsia="黑体" w:cs="宋体"/>
          <w:sz w:val="28"/>
          <w:szCs w:val="28"/>
        </w:rPr>
      </w:pPr>
    </w:p>
    <w:p>
      <w:pPr>
        <w:rPr>
          <w:rFonts w:ascii="黑体" w:hAnsi="宋体" w:eastAsia="黑体" w:cs="宋体"/>
          <w:sz w:val="28"/>
          <w:szCs w:val="28"/>
        </w:rPr>
      </w:pPr>
    </w:p>
    <w:p>
      <w:pPr>
        <w:rPr>
          <w:rFonts w:ascii="黑体" w:hAnsi="宋体" w:eastAsia="黑体" w:cs="宋体"/>
          <w:sz w:val="28"/>
          <w:szCs w:val="28"/>
        </w:rPr>
      </w:pPr>
    </w:p>
    <w:p>
      <w:pPr>
        <w:rPr>
          <w:rFonts w:ascii="黑体" w:hAnsi="宋体" w:eastAsia="黑体" w:cs="宋体"/>
          <w:sz w:val="28"/>
          <w:szCs w:val="28"/>
        </w:rPr>
      </w:pPr>
    </w:p>
    <w:p>
      <w:pPr>
        <w:rPr>
          <w:rFonts w:ascii="黑体" w:hAnsi="宋体" w:eastAsia="黑体" w:cs="宋体"/>
          <w:sz w:val="28"/>
          <w:szCs w:val="28"/>
        </w:rPr>
      </w:pPr>
    </w:p>
    <w:p>
      <w:pPr>
        <w:rPr>
          <w:rFonts w:ascii="黑体" w:hAnsi="宋体" w:eastAsia="黑体" w:cs="宋体"/>
          <w:sz w:val="28"/>
          <w:szCs w:val="28"/>
        </w:rPr>
      </w:pPr>
    </w:p>
    <w:p>
      <w:pPr>
        <w:rPr>
          <w:rFonts w:ascii="黑体" w:hAnsi="宋体" w:eastAsia="黑体" w:cs="宋体"/>
          <w:sz w:val="28"/>
          <w:szCs w:val="28"/>
        </w:rPr>
      </w:pPr>
    </w:p>
    <w:p>
      <w:pPr>
        <w:rPr>
          <w:rFonts w:ascii="黑体" w:hAnsi="宋体" w:eastAsia="黑体" w:cs="宋体"/>
          <w:sz w:val="28"/>
          <w:szCs w:val="28"/>
        </w:rPr>
      </w:pPr>
    </w:p>
    <w:p>
      <w:pPr>
        <w:rPr>
          <w:rFonts w:ascii="黑体" w:hAnsi="宋体" w:eastAsia="黑体" w:cs="宋体"/>
          <w:sz w:val="28"/>
          <w:szCs w:val="28"/>
        </w:rPr>
      </w:pPr>
    </w:p>
    <w:p>
      <w:pPr>
        <w:rPr>
          <w:rFonts w:ascii="黑体" w:hAnsi="宋体" w:eastAsia="黑体" w:cs="宋体"/>
          <w:sz w:val="28"/>
          <w:szCs w:val="28"/>
        </w:rPr>
      </w:pPr>
    </w:p>
    <w:p>
      <w:pPr>
        <w:rPr>
          <w:rFonts w:ascii="黑体" w:hAnsi="宋体" w:eastAsia="黑体" w:cs="宋体"/>
          <w:sz w:val="28"/>
          <w:szCs w:val="28"/>
        </w:rPr>
      </w:pPr>
    </w:p>
    <w:p>
      <w:pPr>
        <w:tabs>
          <w:tab w:val="left" w:pos="6570"/>
        </w:tabs>
        <w:rPr>
          <w:rFonts w:ascii="黑体" w:hAnsi="宋体" w:eastAsia="黑体" w:cs="宋体"/>
          <w:sz w:val="28"/>
          <w:szCs w:val="28"/>
        </w:rPr>
      </w:pPr>
      <w:r>
        <w:rPr>
          <w:rFonts w:ascii="黑体" w:hAnsi="宋体" w:eastAsia="黑体" w:cs="宋体"/>
          <w:sz w:val="28"/>
          <w:szCs w:val="28"/>
        </w:rPr>
        <w:tab/>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ind w:firstLine="640" w:firstLineChars="200"/>
        <w:jc w:val="left"/>
        <w:outlineLvl w:val="1"/>
        <w:rPr>
          <w:rFonts w:ascii="仿宋" w:hAnsi="仿宋" w:eastAsia="仿宋" w:cs="仿宋"/>
          <w:sz w:val="32"/>
          <w:szCs w:val="32"/>
        </w:rPr>
      </w:pPr>
      <w:r>
        <w:rPr>
          <w:rFonts w:hint="eastAsia" w:ascii="仿宋" w:hAnsi="仿宋" w:eastAsia="仿宋" w:cs="仿宋"/>
          <w:sz w:val="32"/>
          <w:szCs w:val="32"/>
        </w:rPr>
        <w:t>贯彻实施国家教育、体育工作方针、政策; 管理全区的基础教育、特殊教育、幼儿教育；研究提出全区教育改革与发展战略和教育事业发展规划及年度计划；指导全区的体育工作，推行全民健身计划；主管全区教师工作等。</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ind w:firstLine="640" w:firstLineChars="200"/>
        <w:rPr>
          <w:rFonts w:ascii="仿宋" w:hAnsi="仿宋" w:eastAsia="仿宋" w:cs="仿宋"/>
          <w:sz w:val="32"/>
          <w:szCs w:val="32"/>
        </w:rPr>
      </w:pPr>
      <w:r>
        <w:rPr>
          <w:rFonts w:hint="eastAsia" w:ascii="仿宋" w:hAnsi="仿宋" w:eastAsia="仿宋" w:cs="仿宋"/>
          <w:sz w:val="32"/>
          <w:szCs w:val="32"/>
        </w:rPr>
        <w:t>2020年，老城区教育局下辖26所中小学，12903名学生，835名教职工。局机关内设办公室，下设二级机构教研室、督导室、体卫艺站、学生资助中心。</w:t>
      </w:r>
    </w:p>
    <w:p>
      <w:pPr>
        <w:widowControl/>
        <w:ind w:firstLine="640" w:firstLineChars="200"/>
        <w:jc w:val="left"/>
        <w:sectPr>
          <w:pgSz w:w="11906" w:h="16838"/>
          <w:pgMar w:top="1440" w:right="1800" w:bottom="1440" w:left="1800" w:header="720" w:footer="720" w:gutter="0"/>
          <w:pgNumType w:fmt="numberInDash"/>
          <w:cols w:space="720" w:num="1"/>
          <w:docGrid w:type="lines" w:linePitch="312"/>
        </w:sectPr>
      </w:pPr>
      <w:r>
        <w:rPr>
          <w:rFonts w:hint="eastAsia" w:ascii="仿宋_GB2312" w:hAnsi="仿宋_GB2312" w:eastAsia="仿宋_GB2312" w:cs="仿宋_GB2312"/>
          <w:kern w:val="0"/>
          <w:sz w:val="32"/>
          <w:szCs w:val="32"/>
        </w:rPr>
        <w:t>本决算包含教育局本级和下属26家学校，本决算为汇总决算。</w:t>
      </w:r>
    </w:p>
    <w:p>
      <w:pPr>
        <w:rPr>
          <w:rFonts w:ascii="黑体" w:hAnsi="宋体" w:eastAsia="黑体" w:cs="宋体"/>
          <w:sz w:val="28"/>
          <w:szCs w:val="28"/>
        </w:rPr>
      </w:pPr>
    </w:p>
    <w:p>
      <w:pP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2020年度部门决算表</w:t>
      </w:r>
    </w:p>
    <w:p>
      <w:pPr>
        <w:rPr>
          <w:rFonts w:ascii="黑体" w:hAnsi="宋体" w:eastAsia="黑体" w:cs="宋体"/>
          <w:sz w:val="28"/>
          <w:szCs w:val="28"/>
        </w:rPr>
      </w:pPr>
    </w:p>
    <w:p>
      <w:pPr>
        <w:sectPr>
          <w:pgSz w:w="11906" w:h="16838"/>
          <w:pgMar w:top="1440" w:right="1800" w:bottom="1440" w:left="1800" w:header="720" w:footer="720" w:gutter="0"/>
          <w:pgNumType w:fmt="numberInDash"/>
          <w:cols w:space="720" w:num="1"/>
          <w:docGrid w:type="lines" w:linePitch="312"/>
        </w:sectPr>
      </w:pPr>
    </w:p>
    <w:tbl>
      <w:tblPr>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20"/>
        <w:gridCol w:w="580"/>
        <w:gridCol w:w="2260"/>
        <w:gridCol w:w="4220"/>
        <w:gridCol w:w="580"/>
        <w:gridCol w:w="2260"/>
      </w:tblGrid>
      <w:tr>
        <w:trPr>
          <w:trHeight w:val="390" w:hRule="atLeast"/>
        </w:trPr>
        <w:tc>
          <w:tcPr>
            <w:tcW w:w="42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60" w:type="dxa"/>
            <w:tcBorders>
              <w:top w:val="nil"/>
              <w:left w:val="nil"/>
              <w:bottom w:val="nil"/>
              <w:right w:val="nil"/>
            </w:tcBorders>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收入支出决算总表</w:t>
            </w:r>
          </w:p>
        </w:tc>
        <w:tc>
          <w:tcPr>
            <w:tcW w:w="42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60" w:type="dxa"/>
            <w:tcBorders>
              <w:top w:val="nil"/>
              <w:left w:val="nil"/>
              <w:bottom w:val="nil"/>
              <w:right w:val="nil"/>
            </w:tcBorders>
            <w:vAlign w:val="bottom"/>
          </w:tcPr>
          <w:p>
            <w:pPr>
              <w:widowControl/>
              <w:jc w:val="left"/>
              <w:rPr>
                <w:rFonts w:ascii="Arial" w:hAnsi="Arial" w:cs="Arial"/>
                <w:color w:val="000000"/>
                <w:kern w:val="0"/>
                <w:sz w:val="20"/>
                <w:szCs w:val="20"/>
              </w:rPr>
            </w:pPr>
          </w:p>
        </w:tc>
      </w:tr>
      <w:tr>
        <w:trPr>
          <w:trHeight w:val="255" w:hRule="atLeast"/>
        </w:trPr>
        <w:tc>
          <w:tcPr>
            <w:tcW w:w="42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60"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公开01表</w:t>
            </w:r>
          </w:p>
        </w:tc>
      </w:tr>
      <w:tr>
        <w:trPr>
          <w:trHeight w:val="255" w:hRule="atLeast"/>
        </w:trPr>
        <w:tc>
          <w:tcPr>
            <w:tcW w:w="4220" w:type="dxa"/>
            <w:tcBorders>
              <w:top w:val="nil"/>
              <w:left w:val="nil"/>
              <w:bottom w:val="nil"/>
              <w:right w:val="nil"/>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部门：洛阳市老城区教育局</w:t>
            </w:r>
          </w:p>
        </w:tc>
        <w:tc>
          <w:tcPr>
            <w:tcW w:w="5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2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60"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rPr>
          <w:trHeight w:val="308" w:hRule="atLeast"/>
        </w:trPr>
        <w:tc>
          <w:tcPr>
            <w:tcW w:w="7060"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收入</w:t>
            </w:r>
          </w:p>
        </w:tc>
        <w:tc>
          <w:tcPr>
            <w:tcW w:w="7060"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支出</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226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42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226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226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42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226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17,482.56</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6.00</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三、国有资本经营预算财政拨款收入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四、上级补助收入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五、事业收入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14,996.50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六、经营收入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七、附属单位上缴收入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七、文化旅游体育与传媒支出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八、其他收入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1,872.29</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九、卫生健康支出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592.71</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十四、资源勘探工业信息等支出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十八、自然资源海洋气象等支出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二十一、国有资本经营预算支出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二十二、灾害防治及应急管理支出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二十三、其他支出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2.54</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24</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二十四、债务还本支出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55</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25</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二十五、债务付息支出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56</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26</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二十六、抗疫特别国债安排的支出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57</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17,488.56</w:t>
            </w:r>
          </w:p>
        </w:tc>
        <w:tc>
          <w:tcPr>
            <w:tcW w:w="42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58</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18,251.97</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使用非财政拨款结余</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结余分配</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59</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年初结转和结余</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1,447.99</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年末结转和结余</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60</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684.59</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61</w:t>
            </w:r>
          </w:p>
        </w:tc>
        <w:tc>
          <w:tcPr>
            <w:tcW w:w="22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r>
      <w:tr>
        <w:trPr>
          <w:trHeight w:val="308" w:hRule="atLeast"/>
        </w:trPr>
        <w:tc>
          <w:tcPr>
            <w:tcW w:w="422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80" w:type="dxa"/>
            <w:tcBorders>
              <w:top w:val="nil"/>
              <w:left w:val="nil"/>
              <w:bottom w:val="single" w:color="000000" w:sz="8"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2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18,936.55</w:t>
            </w:r>
          </w:p>
        </w:tc>
        <w:tc>
          <w:tcPr>
            <w:tcW w:w="42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62</w:t>
            </w:r>
          </w:p>
        </w:tc>
        <w:tc>
          <w:tcPr>
            <w:tcW w:w="22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18,936.55</w:t>
            </w:r>
          </w:p>
        </w:tc>
      </w:tr>
      <w:tr>
        <w:trPr>
          <w:trHeight w:val="308" w:hRule="atLeast"/>
        </w:trPr>
        <w:tc>
          <w:tcPr>
            <w:tcW w:w="14120" w:type="dxa"/>
            <w:gridSpan w:val="6"/>
            <w:tcBorders>
              <w:top w:val="nil"/>
              <w:left w:val="nil"/>
              <w:bottom w:val="nil"/>
              <w:right w:val="nil"/>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注：本表反映部门本年度的总收支和年末结转结余情况。本套报表金额单位转换时可能存在尾数误差。</w:t>
            </w:r>
          </w:p>
        </w:tc>
      </w:tr>
    </w:tbl>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4"/>
        <w:gridCol w:w="485"/>
        <w:gridCol w:w="473"/>
        <w:gridCol w:w="3516"/>
        <w:gridCol w:w="1369"/>
        <w:gridCol w:w="1369"/>
        <w:gridCol w:w="1716"/>
        <w:gridCol w:w="870"/>
        <w:gridCol w:w="870"/>
        <w:gridCol w:w="1293"/>
        <w:gridCol w:w="1616"/>
      </w:tblGrid>
      <w:tr>
        <w:trPr>
          <w:trHeight w:val="390" w:hRule="atLeast"/>
        </w:trPr>
        <w:tc>
          <w:tcPr>
            <w:tcW w:w="50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8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7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5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16" w:type="dxa"/>
            <w:tcBorders>
              <w:top w:val="nil"/>
              <w:left w:val="nil"/>
              <w:bottom w:val="nil"/>
              <w:right w:val="nil"/>
            </w:tcBorders>
            <w:vAlign w:val="bottom"/>
          </w:tcPr>
          <w:p>
            <w:pPr>
              <w:widowControl/>
              <w:rPr>
                <w:rFonts w:ascii="宋体" w:hAnsi="宋体" w:cs="Arial"/>
                <w:color w:val="000000"/>
                <w:kern w:val="0"/>
                <w:sz w:val="30"/>
                <w:szCs w:val="30"/>
              </w:rPr>
            </w:pPr>
            <w:r>
              <w:rPr>
                <w:rFonts w:hint="eastAsia" w:ascii="宋体" w:hAnsi="宋体" w:cs="Arial"/>
                <w:color w:val="000000"/>
                <w:kern w:val="0"/>
                <w:sz w:val="30"/>
                <w:szCs w:val="30"/>
              </w:rPr>
              <w:t>收入决算表</w:t>
            </w:r>
          </w:p>
        </w:tc>
        <w:tc>
          <w:tcPr>
            <w:tcW w:w="8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9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6" w:type="dxa"/>
            <w:tcBorders>
              <w:top w:val="nil"/>
              <w:left w:val="nil"/>
              <w:bottom w:val="nil"/>
              <w:right w:val="nil"/>
            </w:tcBorders>
            <w:vAlign w:val="bottom"/>
          </w:tcPr>
          <w:p>
            <w:pPr>
              <w:widowControl/>
              <w:jc w:val="left"/>
              <w:rPr>
                <w:rFonts w:ascii="Arial" w:hAnsi="Arial" w:cs="Arial"/>
                <w:color w:val="000000"/>
                <w:kern w:val="0"/>
                <w:sz w:val="20"/>
                <w:szCs w:val="20"/>
              </w:rPr>
            </w:pPr>
          </w:p>
        </w:tc>
      </w:tr>
      <w:tr>
        <w:trPr>
          <w:trHeight w:val="255" w:hRule="atLeast"/>
        </w:trPr>
        <w:tc>
          <w:tcPr>
            <w:tcW w:w="50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8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7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5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9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6"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公开02表</w:t>
            </w:r>
          </w:p>
        </w:tc>
      </w:tr>
      <w:tr>
        <w:trPr>
          <w:trHeight w:val="255" w:hRule="atLeast"/>
        </w:trPr>
        <w:tc>
          <w:tcPr>
            <w:tcW w:w="4978" w:type="dxa"/>
            <w:gridSpan w:val="4"/>
            <w:tcBorders>
              <w:top w:val="nil"/>
              <w:left w:val="nil"/>
              <w:bottom w:val="nil"/>
              <w:right w:val="nil"/>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部门：洛阳市老城区教育局</w:t>
            </w:r>
          </w:p>
        </w:tc>
        <w:tc>
          <w:tcPr>
            <w:tcW w:w="136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9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6"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rPr>
          <w:trHeight w:val="308" w:hRule="atLeast"/>
        </w:trPr>
        <w:tc>
          <w:tcPr>
            <w:tcW w:w="4978"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36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本年收入合计</w:t>
            </w:r>
          </w:p>
        </w:tc>
        <w:tc>
          <w:tcPr>
            <w:tcW w:w="136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财政拨款收入</w:t>
            </w:r>
          </w:p>
        </w:tc>
        <w:tc>
          <w:tcPr>
            <w:tcW w:w="171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上级补助收入</w:t>
            </w:r>
          </w:p>
        </w:tc>
        <w:tc>
          <w:tcPr>
            <w:tcW w:w="87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事业收入</w:t>
            </w:r>
          </w:p>
        </w:tc>
        <w:tc>
          <w:tcPr>
            <w:tcW w:w="87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经营收入</w:t>
            </w:r>
          </w:p>
        </w:tc>
        <w:tc>
          <w:tcPr>
            <w:tcW w:w="129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附属单位上缴收入</w:t>
            </w:r>
          </w:p>
        </w:tc>
        <w:tc>
          <w:tcPr>
            <w:tcW w:w="161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其他收入</w:t>
            </w:r>
          </w:p>
        </w:tc>
      </w:tr>
      <w:tr>
        <w:trPr>
          <w:trHeight w:val="312" w:hRule="atLeast"/>
        </w:trPr>
        <w:tc>
          <w:tcPr>
            <w:tcW w:w="1462"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351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3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9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rPr>
          <w:trHeight w:val="312" w:hRule="atLeast"/>
        </w:trPr>
        <w:tc>
          <w:tcPr>
            <w:tcW w:w="1462"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5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9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rPr>
          <w:trHeight w:val="312" w:hRule="atLeast"/>
        </w:trPr>
        <w:tc>
          <w:tcPr>
            <w:tcW w:w="1462"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5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9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rPr>
          <w:trHeight w:val="308" w:hRule="atLeast"/>
        </w:trPr>
        <w:tc>
          <w:tcPr>
            <w:tcW w:w="4978"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36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36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71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87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87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29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61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r>
      <w:tr>
        <w:trPr>
          <w:trHeight w:val="308" w:hRule="atLeast"/>
        </w:trPr>
        <w:tc>
          <w:tcPr>
            <w:tcW w:w="4978"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17,488.56</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17,488.56</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教育支出</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14,227.13</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14,227.13</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教育管理事务</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455.49</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455.49</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2050101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423.99</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423.99</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2050102</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一般行政管理事务</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31.50</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31.50</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20502</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普通教育</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13,121.30</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13,121.30</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2050201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学前教育</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273.28</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273.28</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2050202</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小学教育</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7,942.51</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7,942.51</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2050203</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初中教育</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4,703.55</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4,703.55</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2050299</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其他普通教育支出</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201.96</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201.96</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20507</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特殊教育</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175.37</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175.37</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2050701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特殊学校教育</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165.37</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165.37</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2050799</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其他特殊教育支出</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10.00</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10.00</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20508</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进修及培训</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18.67</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18.67</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2050803</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培训支出</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18.67</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18.67</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20509</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教育费附加安排的支出</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451.69</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451.69</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2050999</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其他教育费附加安排的支出</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451.69</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451.69</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20599</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其他教育支出</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4.62</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4.62</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2059999</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其他教育支出</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4.62</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4.62</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1,872.29</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1,872.29</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20805</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行政事业单位养老支出</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1,770.98</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1,770.98</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2080501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行政单位离退休</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188.00</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188.00</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2080502</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事业单位离退休</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1,582.99</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1,582.99</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20808</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抚恤</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101.31</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101.31</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2080801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死亡抚恤</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101.31</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101.31</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卫生健康支出</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592.71</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592.71</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592.71</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592.71</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2101101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行政单位医疗</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33.06</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33.06</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2101102</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事业单位医疗</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559.65</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559.65</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213</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农林水支出</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2.50</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2.50</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21307</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农村综合改革</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2.50</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2.50</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2130705</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对村民委员会和村党支部的补助</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2.50</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2.50</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住房保障支出</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22102</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住房改革支出</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2210201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229</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6.00</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6.00</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22960</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彩票公益金安排的支出</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6.00</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6.00</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62"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2296004</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用于教育事业的彩票公益金支出</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6.00</w:t>
            </w:r>
          </w:p>
        </w:tc>
        <w:tc>
          <w:tcPr>
            <w:tcW w:w="136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6.00</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7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081" w:type="dxa"/>
            <w:gridSpan w:val="11"/>
            <w:tcBorders>
              <w:top w:val="nil"/>
              <w:left w:val="nil"/>
              <w:bottom w:val="nil"/>
              <w:right w:val="nil"/>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注：本表反映部门本年度取得的各项收入情况。</w:t>
            </w:r>
          </w:p>
        </w:tc>
      </w:tr>
    </w:tbl>
    <w:p>
      <w:pPr>
        <w:widowControl/>
        <w:jc w:val="left"/>
        <w:rPr>
          <w:rFonts w:ascii="黑体" w:hAnsi="宋体" w:eastAsia="黑体" w:cs="宋体"/>
          <w:kern w:val="0"/>
          <w:sz w:val="28"/>
          <w:szCs w:val="28"/>
        </w:rPr>
      </w:pPr>
    </w:p>
    <w:p/>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4"/>
        <w:gridCol w:w="597"/>
        <w:gridCol w:w="593"/>
        <w:gridCol w:w="3516"/>
        <w:gridCol w:w="1476"/>
        <w:gridCol w:w="1716"/>
        <w:gridCol w:w="1103"/>
        <w:gridCol w:w="1373"/>
        <w:gridCol w:w="1015"/>
        <w:gridCol w:w="2088"/>
      </w:tblGrid>
      <w:tr>
        <w:trPr>
          <w:trHeight w:val="390" w:hRule="atLeast"/>
        </w:trPr>
        <w:tc>
          <w:tcPr>
            <w:tcW w:w="60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9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9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5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16" w:type="dxa"/>
            <w:tcBorders>
              <w:top w:val="nil"/>
              <w:left w:val="nil"/>
              <w:bottom w:val="nil"/>
              <w:right w:val="nil"/>
            </w:tcBorders>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支出决算表</w:t>
            </w:r>
          </w:p>
        </w:tc>
        <w:tc>
          <w:tcPr>
            <w:tcW w:w="11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7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1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088" w:type="dxa"/>
            <w:tcBorders>
              <w:top w:val="nil"/>
              <w:left w:val="nil"/>
              <w:bottom w:val="nil"/>
              <w:right w:val="nil"/>
            </w:tcBorders>
            <w:vAlign w:val="bottom"/>
          </w:tcPr>
          <w:p>
            <w:pPr>
              <w:widowControl/>
              <w:jc w:val="left"/>
              <w:rPr>
                <w:rFonts w:ascii="Arial" w:hAnsi="Arial" w:cs="Arial"/>
                <w:color w:val="000000"/>
                <w:kern w:val="0"/>
                <w:sz w:val="20"/>
                <w:szCs w:val="20"/>
              </w:rPr>
            </w:pPr>
          </w:p>
        </w:tc>
      </w:tr>
      <w:tr>
        <w:trPr>
          <w:trHeight w:val="255" w:hRule="atLeast"/>
        </w:trPr>
        <w:tc>
          <w:tcPr>
            <w:tcW w:w="60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9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9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5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7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1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088"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公开03表</w:t>
            </w:r>
          </w:p>
        </w:tc>
      </w:tr>
      <w:tr>
        <w:trPr>
          <w:trHeight w:val="255" w:hRule="atLeast"/>
        </w:trPr>
        <w:tc>
          <w:tcPr>
            <w:tcW w:w="5310" w:type="dxa"/>
            <w:gridSpan w:val="4"/>
            <w:tcBorders>
              <w:top w:val="nil"/>
              <w:left w:val="nil"/>
              <w:bottom w:val="nil"/>
              <w:right w:val="nil"/>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部门：洛阳市老城区教育局</w:t>
            </w:r>
          </w:p>
        </w:tc>
        <w:tc>
          <w:tcPr>
            <w:tcW w:w="14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7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1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088"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rPr>
          <w:trHeight w:val="308" w:hRule="atLeast"/>
        </w:trPr>
        <w:tc>
          <w:tcPr>
            <w:tcW w:w="5310"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47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本年支出合计</w:t>
            </w:r>
          </w:p>
        </w:tc>
        <w:tc>
          <w:tcPr>
            <w:tcW w:w="171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10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137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上缴上级支出</w:t>
            </w:r>
          </w:p>
        </w:tc>
        <w:tc>
          <w:tcPr>
            <w:tcW w:w="101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经营支出</w:t>
            </w:r>
          </w:p>
        </w:tc>
        <w:tc>
          <w:tcPr>
            <w:tcW w:w="208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对附属单位补助支出</w:t>
            </w:r>
          </w:p>
        </w:tc>
      </w:tr>
      <w:tr>
        <w:trPr>
          <w:trHeight w:val="312" w:hRule="atLeast"/>
        </w:trPr>
        <w:tc>
          <w:tcPr>
            <w:tcW w:w="1794"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351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4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0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1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08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rPr>
          <w:trHeight w:val="312" w:hRule="atLeast"/>
        </w:trPr>
        <w:tc>
          <w:tcPr>
            <w:tcW w:w="17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5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0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1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08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rPr>
          <w:trHeight w:val="312" w:hRule="atLeast"/>
        </w:trPr>
        <w:tc>
          <w:tcPr>
            <w:tcW w:w="17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5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1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0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1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08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rPr>
          <w:trHeight w:val="308" w:hRule="atLeast"/>
        </w:trPr>
        <w:tc>
          <w:tcPr>
            <w:tcW w:w="531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4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71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10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37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01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208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rPr>
          <w:trHeight w:val="308" w:hRule="atLeast"/>
        </w:trPr>
        <w:tc>
          <w:tcPr>
            <w:tcW w:w="531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18,251.97</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16,261.25</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1,990.72</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教育支出</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14,996.50</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13,008.32</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1,988.18</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教育管理事务</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455.49</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423.99</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31.50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2050101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423.99</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423.99</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2050102</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一般行政管理事务</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31.50</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31.50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20502</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普通教育</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12,785.29</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12,416.68</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368.60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2050201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学前教育</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13.09</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13.09</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2050202</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小学教育</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7,871.46</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7,726.94</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144.52</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2050203</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初中教育</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4,697.40</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4,679.66</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17.74</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2050299</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其他普通教育支出</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203.33</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10.08</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193.25</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20507</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特殊教育</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177.15</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167.64</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9.50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2050701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特殊学校教育</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167.64</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167.64</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2050799</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其他特殊教育支出</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9.50</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9.50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20508</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进修及培训</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18.67</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18.67</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2050803</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培训支出</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18.67</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18.67</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20509</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教育费附加安排的支出</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1,559.73</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1,559.73</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2050902</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农村中小学教学设施</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41.96</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41.96</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2050903</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城市中小学校舍建设</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444.68</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444.68</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2050904</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城市中小学教学设施</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107.03</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107.03</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2050999</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其他教育费附加安排的支出</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966.06</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966.06</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20599</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其他教育支出</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0.18</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0.18</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2059999</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其他教育支出</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0.18</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0.18</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1,872.29</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1,872.29</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20805</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行政事业单位养老支出</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1,770.98</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1,770.98</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2080501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行政单位离退休</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188.00</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188.00</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2080502</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事业单位离退休</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1,582.99</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1,582.99</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20808</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抚恤</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101.31</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101.31</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2080801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死亡抚恤</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101.31</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101.31</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卫生健康支出</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592.71</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592.71</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592.71</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592.71</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2101101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行政单位医疗</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33.06</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33.06</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2101102</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事业单位医疗</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559.65</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559.65</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住房保障支出</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22102</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住房改革支出</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2210201</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229</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2.54</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2.54</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22960</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彩票公益金安排的支出</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2.54</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2.54</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2296003</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用于体育事业的彩票公益金支出</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0.50</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0.50</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79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2296004</w:t>
            </w:r>
          </w:p>
        </w:tc>
        <w:tc>
          <w:tcPr>
            <w:tcW w:w="351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用于教育事业的彩票公益金支出</w:t>
            </w:r>
          </w:p>
        </w:tc>
        <w:tc>
          <w:tcPr>
            <w:tcW w:w="14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2.04</w:t>
            </w:r>
          </w:p>
        </w:tc>
        <w:tc>
          <w:tcPr>
            <w:tcW w:w="1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0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2.04</w:t>
            </w:r>
          </w:p>
        </w:tc>
        <w:tc>
          <w:tcPr>
            <w:tcW w:w="137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1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4081" w:type="dxa"/>
            <w:gridSpan w:val="10"/>
            <w:tcBorders>
              <w:top w:val="nil"/>
              <w:left w:val="nil"/>
              <w:bottom w:val="nil"/>
              <w:right w:val="nil"/>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注：本表反映部门本年度各项支出情况。</w:t>
            </w:r>
          </w:p>
        </w:tc>
      </w:tr>
    </w:tbl>
    <w:p/>
    <w:tbl>
      <w:tblPr>
        <w:tblW w:w="14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84"/>
        <w:gridCol w:w="637"/>
        <w:gridCol w:w="1145"/>
        <w:gridCol w:w="3554"/>
        <w:gridCol w:w="637"/>
        <w:gridCol w:w="1145"/>
        <w:gridCol w:w="1668"/>
        <w:gridCol w:w="981"/>
        <w:gridCol w:w="1523"/>
      </w:tblGrid>
      <w:tr>
        <w:trPr>
          <w:trHeight w:val="390" w:hRule="atLeast"/>
        </w:trPr>
        <w:tc>
          <w:tcPr>
            <w:tcW w:w="288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554" w:type="dxa"/>
            <w:tcBorders>
              <w:top w:val="nil"/>
              <w:left w:val="nil"/>
              <w:bottom w:val="nil"/>
              <w:right w:val="nil"/>
            </w:tcBorders>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财政拨款收入支出决算表</w:t>
            </w:r>
          </w:p>
        </w:tc>
        <w:tc>
          <w:tcPr>
            <w:tcW w:w="6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6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8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3" w:type="dxa"/>
            <w:tcBorders>
              <w:top w:val="nil"/>
              <w:left w:val="nil"/>
              <w:bottom w:val="nil"/>
              <w:right w:val="nil"/>
            </w:tcBorders>
            <w:vAlign w:val="bottom"/>
          </w:tcPr>
          <w:p>
            <w:pPr>
              <w:widowControl/>
              <w:jc w:val="left"/>
              <w:rPr>
                <w:rFonts w:ascii="Arial" w:hAnsi="Arial" w:cs="Arial"/>
                <w:color w:val="000000"/>
                <w:kern w:val="0"/>
                <w:sz w:val="20"/>
                <w:szCs w:val="20"/>
              </w:rPr>
            </w:pPr>
          </w:p>
        </w:tc>
      </w:tr>
      <w:tr>
        <w:trPr>
          <w:trHeight w:val="255" w:hRule="atLeast"/>
        </w:trPr>
        <w:tc>
          <w:tcPr>
            <w:tcW w:w="288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5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6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8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3"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公开04表</w:t>
            </w:r>
          </w:p>
        </w:tc>
      </w:tr>
      <w:tr>
        <w:trPr>
          <w:trHeight w:val="255" w:hRule="atLeast"/>
        </w:trPr>
        <w:tc>
          <w:tcPr>
            <w:tcW w:w="2884" w:type="dxa"/>
            <w:tcBorders>
              <w:top w:val="nil"/>
              <w:left w:val="nil"/>
              <w:bottom w:val="nil"/>
              <w:right w:val="nil"/>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部门：洛阳市老城区教育局</w:t>
            </w:r>
          </w:p>
        </w:tc>
        <w:tc>
          <w:tcPr>
            <w:tcW w:w="6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55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6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8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3"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rPr>
          <w:trHeight w:val="308" w:hRule="atLeast"/>
        </w:trPr>
        <w:tc>
          <w:tcPr>
            <w:tcW w:w="4666"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收     入</w:t>
            </w:r>
          </w:p>
        </w:tc>
        <w:tc>
          <w:tcPr>
            <w:tcW w:w="9508"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支     出</w:t>
            </w:r>
          </w:p>
        </w:tc>
      </w:tr>
      <w:tr>
        <w:trPr>
          <w:trHeight w:val="312" w:hRule="atLeast"/>
        </w:trPr>
        <w:tc>
          <w:tcPr>
            <w:tcW w:w="2884"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63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14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3554"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63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14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66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一般公共预算财政拨款</w:t>
            </w:r>
          </w:p>
        </w:tc>
        <w:tc>
          <w:tcPr>
            <w:tcW w:w="98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政府性基金预算财政拨款</w:t>
            </w:r>
          </w:p>
        </w:tc>
        <w:tc>
          <w:tcPr>
            <w:tcW w:w="152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国有资本经营预算财政拨款</w:t>
            </w:r>
          </w:p>
        </w:tc>
      </w:tr>
      <w:tr>
        <w:trPr>
          <w:trHeight w:val="615" w:hRule="atLeast"/>
        </w:trPr>
        <w:tc>
          <w:tcPr>
            <w:tcW w:w="288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6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4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55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6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4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6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98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2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14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355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14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66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98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52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17,482.56</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6.00</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三、国有资本经营财政拨款</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14,996.50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14,996.50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七、文化旅游体育与传媒支出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1,872.29</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1,872.29</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九、卫生健康支出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592.71</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592.71</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十四、资源勘探工业信息等支出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十八、自然资源海洋气象等支出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二十一、国有资本经营预算支出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二十二、灾害防治及应急管理支出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二十三、其他支出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55</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2.54</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2.54</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24</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二十四、债务还本支出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56</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二十五、债务付息支出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57</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26</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二十六、抗疫特别国债安排的支出</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58</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17,488.56</w:t>
            </w:r>
          </w:p>
        </w:tc>
        <w:tc>
          <w:tcPr>
            <w:tcW w:w="355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59</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18,251.97</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18,249.43</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2.54</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年初财政拨款结转和结余</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1,447.99</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年末财政拨款结转和结余</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60</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684.59</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680.18</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4.41</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一般公共预算财政拨款</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1,447.04</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61</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政府性基金预算财政拨款</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0.95</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62</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国有资本经营预算财政拨款</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5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63</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rPr>
          <w:trHeight w:val="308" w:hRule="atLeast"/>
        </w:trPr>
        <w:tc>
          <w:tcPr>
            <w:tcW w:w="2884"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637" w:type="dxa"/>
            <w:tcBorders>
              <w:top w:val="nil"/>
              <w:left w:val="nil"/>
              <w:bottom w:val="single" w:color="000000" w:sz="8"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11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18,936.55</w:t>
            </w:r>
          </w:p>
        </w:tc>
        <w:tc>
          <w:tcPr>
            <w:tcW w:w="355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6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64</w:t>
            </w:r>
          </w:p>
        </w:tc>
        <w:tc>
          <w:tcPr>
            <w:tcW w:w="114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18,936.55</w:t>
            </w:r>
          </w:p>
        </w:tc>
        <w:tc>
          <w:tcPr>
            <w:tcW w:w="166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18,929.61</w:t>
            </w:r>
          </w:p>
        </w:tc>
        <w:tc>
          <w:tcPr>
            <w:tcW w:w="98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6.95</w:t>
            </w:r>
          </w:p>
        </w:tc>
        <w:tc>
          <w:tcPr>
            <w:tcW w:w="1523"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2651" w:type="dxa"/>
            <w:gridSpan w:val="8"/>
            <w:tcBorders>
              <w:top w:val="nil"/>
              <w:left w:val="nil"/>
              <w:bottom w:val="nil"/>
              <w:right w:val="nil"/>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注：本表反映部门本年度一般公共预算财政拨款、政府性基金预算财政拨款和国有资本经营预算财政拨款的总收支和年末结转结余情况。</w:t>
            </w:r>
          </w:p>
        </w:tc>
        <w:tc>
          <w:tcPr>
            <w:tcW w:w="1523" w:type="dxa"/>
            <w:tcBorders>
              <w:top w:val="nil"/>
              <w:left w:val="nil"/>
              <w:bottom w:val="nil"/>
              <w:right w:val="nil"/>
            </w:tcBorders>
            <w:vAlign w:val="center"/>
          </w:tcPr>
          <w:p>
            <w:pPr>
              <w:widowControl/>
              <w:jc w:val="left"/>
              <w:rPr>
                <w:rFonts w:ascii="宋体" w:hAnsi="宋体" w:cs="Arial"/>
                <w:color w:val="000000"/>
                <w:kern w:val="0"/>
                <w:sz w:val="20"/>
                <w:szCs w:val="20"/>
              </w:rPr>
            </w:pPr>
          </w:p>
        </w:tc>
      </w:tr>
    </w:tbl>
    <w:p>
      <w:pPr>
        <w:widowControl/>
        <w:jc w:val="left"/>
      </w:pPr>
    </w:p>
    <w:p>
      <w:pPr>
        <w:widowControl/>
        <w:jc w:val="left"/>
      </w:pPr>
    </w:p>
    <w:tbl>
      <w:tblPr>
        <w:tblW w:w="125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9"/>
        <w:gridCol w:w="659"/>
        <w:gridCol w:w="659"/>
        <w:gridCol w:w="3076"/>
        <w:gridCol w:w="4716"/>
        <w:gridCol w:w="1214"/>
        <w:gridCol w:w="1616"/>
      </w:tblGrid>
      <w:tr>
        <w:trPr>
          <w:trHeight w:val="390" w:hRule="atLeast"/>
        </w:trPr>
        <w:tc>
          <w:tcPr>
            <w:tcW w:w="65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5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5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0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716" w:type="dxa"/>
            <w:tcBorders>
              <w:top w:val="nil"/>
              <w:left w:val="nil"/>
              <w:bottom w:val="nil"/>
              <w:right w:val="nil"/>
            </w:tcBorders>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一般公共预算财政拨款支出决算表</w:t>
            </w:r>
          </w:p>
        </w:tc>
        <w:tc>
          <w:tcPr>
            <w:tcW w:w="121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6" w:type="dxa"/>
            <w:tcBorders>
              <w:top w:val="nil"/>
              <w:left w:val="nil"/>
              <w:bottom w:val="nil"/>
              <w:right w:val="nil"/>
            </w:tcBorders>
            <w:vAlign w:val="bottom"/>
          </w:tcPr>
          <w:p>
            <w:pPr>
              <w:widowControl/>
              <w:jc w:val="left"/>
              <w:rPr>
                <w:rFonts w:ascii="Arial" w:hAnsi="Arial" w:cs="Arial"/>
                <w:color w:val="000000"/>
                <w:kern w:val="0"/>
                <w:sz w:val="20"/>
                <w:szCs w:val="20"/>
              </w:rPr>
            </w:pPr>
          </w:p>
        </w:tc>
      </w:tr>
      <w:tr>
        <w:trPr>
          <w:trHeight w:val="255" w:hRule="atLeast"/>
        </w:trPr>
        <w:tc>
          <w:tcPr>
            <w:tcW w:w="65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5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5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0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7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1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6"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公开05表</w:t>
            </w:r>
          </w:p>
        </w:tc>
      </w:tr>
      <w:tr>
        <w:trPr>
          <w:trHeight w:val="255" w:hRule="atLeast"/>
        </w:trPr>
        <w:tc>
          <w:tcPr>
            <w:tcW w:w="5053" w:type="dxa"/>
            <w:gridSpan w:val="4"/>
            <w:tcBorders>
              <w:top w:val="nil"/>
              <w:left w:val="nil"/>
              <w:bottom w:val="nil"/>
              <w:right w:val="nil"/>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部门：洛阳市老城区教育局</w:t>
            </w:r>
          </w:p>
        </w:tc>
        <w:tc>
          <w:tcPr>
            <w:tcW w:w="471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1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6"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rPr>
          <w:trHeight w:val="308" w:hRule="atLeast"/>
        </w:trPr>
        <w:tc>
          <w:tcPr>
            <w:tcW w:w="5053"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7546"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r>
      <w:tr>
        <w:trPr>
          <w:trHeight w:val="312" w:hRule="atLeast"/>
        </w:trPr>
        <w:tc>
          <w:tcPr>
            <w:tcW w:w="197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307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471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214"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61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r>
      <w:tr>
        <w:trPr>
          <w:trHeight w:val="312" w:hRule="atLeast"/>
        </w:trPr>
        <w:tc>
          <w:tcPr>
            <w:tcW w:w="197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0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1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rPr>
          <w:trHeight w:val="312" w:hRule="atLeast"/>
        </w:trPr>
        <w:tc>
          <w:tcPr>
            <w:tcW w:w="197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0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1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rPr>
          <w:trHeight w:val="308" w:hRule="atLeast"/>
        </w:trPr>
        <w:tc>
          <w:tcPr>
            <w:tcW w:w="5053"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471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21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61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r>
      <w:tr>
        <w:trPr>
          <w:trHeight w:val="308" w:hRule="atLeast"/>
        </w:trPr>
        <w:tc>
          <w:tcPr>
            <w:tcW w:w="5053"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18,249.43</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16,261.25</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1,988.18</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教育支出</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14,996.50</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13,008.32</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1,988.18</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20501</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教育管理事务</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455.49</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423.99</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31.50</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2050101</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423.99</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423.99</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2050102</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一般行政管理事务</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31.50</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31.50</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20502</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普通教育</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12,785.29</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12,416.68</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368.60</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2050201</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学前教育</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13.09</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13.09</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2050202</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小学教育</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7,871.46</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7,726.94</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144.52</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2050203</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初中教育</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4,697.40</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4,679.66</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17.74</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2050299</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其他普通教育支出</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203.33</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10.08</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193.25</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20507</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特殊教育</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177.15</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167.64</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9.50</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2050701</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特殊学校教育</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167.64</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167.64</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2050799</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其他特殊教育支出</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9.50</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9.50</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20508</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进修及培训</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18.67</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18.67</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2050803</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培训支出</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18.67</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18.67</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20509</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教育费附加安排的支出</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1,559.73</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1,559.73</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2050902</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农村中小学教学设施</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41.96</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41.96</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2050903</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城市中小学校舍建设</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444.68</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444.68</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2050904</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城市中小学教学设施</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107.03</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107.03</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2050999</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其他教育费附加安排的支出</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966.06</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966.06</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20599</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其他教育支出</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0.18</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0.18</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2059999</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其他教育支出</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0.18</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0.18</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1,872.29</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1,872.29</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20805</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行政事业单位养老支出</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1,770.98</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1,770.98</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2080501</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行政单位离退休</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188.00</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188.00</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2080502</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事业单位离退休</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1,582.99</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1,582.99</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20808</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抚恤</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101.31</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101.31</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2080801</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死亡抚恤</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101.31</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101.31</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卫生健康支出</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592.71</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592.71</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592.71</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592.71</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2101101</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行政单位医疗</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33.06</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33.06</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2101102</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事业单位医疗</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559.65</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559.65</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221</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住房保障支出</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22102</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住房改革支出</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977"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2210201</w:t>
            </w:r>
          </w:p>
        </w:tc>
        <w:tc>
          <w:tcPr>
            <w:tcW w:w="3076"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47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121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787.93</w:t>
            </w:r>
          </w:p>
        </w:tc>
        <w:tc>
          <w:tcPr>
            <w:tcW w:w="161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12599" w:type="dxa"/>
            <w:gridSpan w:val="7"/>
            <w:tcBorders>
              <w:top w:val="nil"/>
              <w:left w:val="nil"/>
              <w:bottom w:val="nil"/>
              <w:right w:val="nil"/>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注：本表反映部门本年度一般公共预算财政拨款支出情况。</w:t>
            </w:r>
          </w:p>
        </w:tc>
      </w:tr>
    </w:tbl>
    <w:p>
      <w:pPr>
        <w:widowControl/>
        <w:jc w:val="left"/>
      </w:pPr>
    </w:p>
    <w:p>
      <w:pPr>
        <w:widowControl/>
        <w:jc w:val="left"/>
      </w:pPr>
    </w:p>
    <w:p>
      <w:pPr>
        <w:widowControl/>
        <w:jc w:val="left"/>
      </w:pPr>
    </w:p>
    <w:p>
      <w:pPr>
        <w:widowControl/>
        <w:jc w:val="left"/>
      </w:pPr>
    </w:p>
    <w:p>
      <w:pPr>
        <w:widowControl/>
        <w:jc w:val="left"/>
      </w:pPr>
    </w:p>
    <w:p>
      <w:pPr>
        <w:widowControl/>
        <w:jc w:val="left"/>
      </w:pPr>
    </w:p>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2523"/>
        <w:gridCol w:w="908"/>
        <w:gridCol w:w="601"/>
        <w:gridCol w:w="3782"/>
        <w:gridCol w:w="831"/>
        <w:gridCol w:w="601"/>
        <w:gridCol w:w="3138"/>
        <w:gridCol w:w="1097"/>
      </w:tblGrid>
      <w:tr>
        <w:trPr>
          <w:trHeight w:val="390" w:hRule="atLeast"/>
        </w:trPr>
        <w:tc>
          <w:tcPr>
            <w:tcW w:w="6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2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782" w:type="dxa"/>
            <w:tcBorders>
              <w:top w:val="nil"/>
              <w:left w:val="nil"/>
              <w:bottom w:val="nil"/>
              <w:right w:val="nil"/>
            </w:tcBorders>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一般公共预算财政拨款基本支出决算表</w:t>
            </w:r>
          </w:p>
        </w:tc>
        <w:tc>
          <w:tcPr>
            <w:tcW w:w="83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13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97" w:type="dxa"/>
            <w:tcBorders>
              <w:top w:val="nil"/>
              <w:left w:val="nil"/>
              <w:bottom w:val="nil"/>
              <w:right w:val="nil"/>
            </w:tcBorders>
            <w:vAlign w:val="bottom"/>
          </w:tcPr>
          <w:p>
            <w:pPr>
              <w:widowControl/>
              <w:jc w:val="left"/>
              <w:rPr>
                <w:rFonts w:ascii="Arial" w:hAnsi="Arial" w:cs="Arial"/>
                <w:color w:val="000000"/>
                <w:kern w:val="0"/>
                <w:sz w:val="20"/>
                <w:szCs w:val="20"/>
              </w:rPr>
            </w:pPr>
          </w:p>
        </w:tc>
      </w:tr>
      <w:tr>
        <w:trPr>
          <w:trHeight w:val="255" w:hRule="atLeast"/>
        </w:trPr>
        <w:tc>
          <w:tcPr>
            <w:tcW w:w="6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2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78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3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13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97" w:type="dxa"/>
            <w:tcBorders>
              <w:top w:val="nil"/>
              <w:left w:val="nil"/>
              <w:bottom w:val="nil"/>
              <w:right w:val="nil"/>
            </w:tcBorders>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公开06表</w:t>
            </w:r>
          </w:p>
        </w:tc>
      </w:tr>
      <w:tr>
        <w:trPr>
          <w:trHeight w:val="255" w:hRule="atLeast"/>
        </w:trPr>
        <w:tc>
          <w:tcPr>
            <w:tcW w:w="3123" w:type="dxa"/>
            <w:gridSpan w:val="2"/>
            <w:tcBorders>
              <w:top w:val="nil"/>
              <w:left w:val="nil"/>
              <w:bottom w:val="nil"/>
              <w:right w:val="nil"/>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部门：洛阳市老城区教育局</w:t>
            </w:r>
          </w:p>
        </w:tc>
        <w:tc>
          <w:tcPr>
            <w:tcW w:w="9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78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3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13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97" w:type="dxa"/>
            <w:tcBorders>
              <w:top w:val="nil"/>
              <w:left w:val="nil"/>
              <w:bottom w:val="nil"/>
              <w:right w:val="nil"/>
            </w:tcBorders>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rPr>
          <w:trHeight w:val="308" w:hRule="atLeast"/>
        </w:trPr>
        <w:tc>
          <w:tcPr>
            <w:tcW w:w="4031"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w:t>
            </w:r>
          </w:p>
        </w:tc>
        <w:tc>
          <w:tcPr>
            <w:tcW w:w="10050"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w:t>
            </w:r>
          </w:p>
        </w:tc>
      </w:tr>
      <w:tr>
        <w:trPr>
          <w:trHeight w:val="312" w:hRule="atLeast"/>
        </w:trPr>
        <w:tc>
          <w:tcPr>
            <w:tcW w:w="600"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252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90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60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3782"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83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60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313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09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rPr>
          <w:trHeight w:val="312"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52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90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60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78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3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60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13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9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工资福利支出</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12,495.36</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商品和服务支出</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1,398.25</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307</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债务利息及费用支出</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30101</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基本工资</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3,969.45</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30201</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353.12</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30701</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国内债务付息</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30102</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津贴补贴</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941.48</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30202</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印刷费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52.93</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30702</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国外债务付息</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30103</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奖金</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1,327.68</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30203</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咨询费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6.90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资本性支出</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110.24</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30106</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伙食补助费</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30204</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手续费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31001</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房屋建筑物购建</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30107</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绩效工资</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3,526.28</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30205</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水费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29.88</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31002</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办公设备购置</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50.66</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30108</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911.37</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30206</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电费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79.27</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31003</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专用设备购置</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59.58</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30109</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职业年金缴费</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30207</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邮电费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12.30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31005</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基础设施建设</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30110</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职工基本医疗保险缴费</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515.95</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30208</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取暖费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31006</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大型修缮</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30111</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公务员医疗补助缴费</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404.77</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30209</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物业管理费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54.62</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31007</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信息网络及软件购置更新</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30112</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其他社会保障缴费</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58.12</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30211</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差旅费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8.28</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31008</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物资储备</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30113</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805.06</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30212</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因公出国（境）费用</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31009</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土地补偿</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30114</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30213</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维修（护）费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103.19</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31010</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安置补助</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30199</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其他工资福利支出</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35.21</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30214</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租赁费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0.82</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31011</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地上附着物和青苗补偿</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对个人和家庭的补助</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2,257.39</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30215</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会议费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31012</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拆迁补偿</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30301</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离休费</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130.30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30216</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培训费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2.16</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31013</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公务用车购置</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30302</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退休费</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1,896.64</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30217</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公务接待费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31019</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其他交通工具购置</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30303</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退职（役）费</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30218</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专用材料费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5.92</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31021</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文物和陈列品购置</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30304</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抚恤金</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101.31</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30224</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被装购置费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31022</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无形资产购置</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30305</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生活补助</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127.40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30225</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专用燃料费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31099</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其他资本性支出</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30306</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救济费</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30226</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劳务费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270.59</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399</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30307</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医疗费补助</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30227</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委托业务费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2.56</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39906</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赠与</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30308</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助学金</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30228</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工会经费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127.83</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39907</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国家赔偿费用支出</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30309</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奖励金</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30229</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福利费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106.32</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39908</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对民间非营利组织和群众性自治组织补贴</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30310</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个人农业生产补贴</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30231</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公务用车运行维护费</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2.13</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39999</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其他支出</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30311</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代缴社会保险费</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30239</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其他交通费用</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0.74</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30399</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其他对个人和家庭的补助</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1.73</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30240</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税金及附加费用</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523"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30299</w:t>
            </w:r>
          </w:p>
        </w:tc>
        <w:tc>
          <w:tcPr>
            <w:tcW w:w="3782"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其他商品和服务支出</w:t>
            </w:r>
          </w:p>
        </w:tc>
        <w:tc>
          <w:tcPr>
            <w:tcW w:w="83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178.69</w:t>
            </w:r>
          </w:p>
        </w:tc>
        <w:tc>
          <w:tcPr>
            <w:tcW w:w="601"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138"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rPr>
          <w:trHeight w:val="308" w:hRule="atLeast"/>
        </w:trPr>
        <w:tc>
          <w:tcPr>
            <w:tcW w:w="3123"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人员经费合计</w:t>
            </w:r>
          </w:p>
        </w:tc>
        <w:tc>
          <w:tcPr>
            <w:tcW w:w="9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14,752.76</w:t>
            </w:r>
          </w:p>
        </w:tc>
        <w:tc>
          <w:tcPr>
            <w:tcW w:w="8953"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公用经费合计</w:t>
            </w:r>
          </w:p>
        </w:tc>
        <w:tc>
          <w:tcPr>
            <w:tcW w:w="109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1,508.49</w:t>
            </w: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
        <w:gridCol w:w="1426"/>
        <w:gridCol w:w="521"/>
        <w:gridCol w:w="521"/>
        <w:gridCol w:w="521"/>
        <w:gridCol w:w="6625"/>
        <w:gridCol w:w="521"/>
        <w:gridCol w:w="674"/>
        <w:gridCol w:w="521"/>
        <w:gridCol w:w="521"/>
        <w:gridCol w:w="521"/>
        <w:gridCol w:w="1187"/>
      </w:tblGrid>
      <w:tr>
        <w:trPr>
          <w:trHeight w:val="540" w:hRule="atLeast"/>
        </w:trPr>
        <w:tc>
          <w:tcPr>
            <w:tcW w:w="52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625" w:type="dxa"/>
            <w:tcBorders>
              <w:top w:val="nil"/>
              <w:left w:val="nil"/>
              <w:bottom w:val="nil"/>
              <w:right w:val="nil"/>
            </w:tcBorders>
            <w:vAlign w:val="bottom"/>
          </w:tcPr>
          <w:p>
            <w:pPr>
              <w:widowControl/>
              <w:jc w:val="center"/>
              <w:rPr>
                <w:rFonts w:ascii="宋体" w:hAnsi="宋体" w:cs="Arial"/>
                <w:color w:val="000000"/>
                <w:kern w:val="0"/>
                <w:sz w:val="44"/>
                <w:szCs w:val="44"/>
              </w:rPr>
            </w:pPr>
            <w:r>
              <w:rPr>
                <w:rFonts w:hint="eastAsia" w:ascii="宋体" w:hAnsi="宋体" w:cs="Arial"/>
                <w:color w:val="000000"/>
                <w:kern w:val="0"/>
                <w:sz w:val="44"/>
                <w:szCs w:val="44"/>
              </w:rPr>
              <w:t>一般公共预算财政拨款“三公”经费支出决算表</w:t>
            </w: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87" w:type="dxa"/>
            <w:tcBorders>
              <w:top w:val="nil"/>
              <w:left w:val="nil"/>
              <w:bottom w:val="nil"/>
              <w:right w:val="nil"/>
            </w:tcBorders>
            <w:vAlign w:val="bottom"/>
          </w:tcPr>
          <w:p>
            <w:pPr>
              <w:widowControl/>
              <w:jc w:val="left"/>
              <w:rPr>
                <w:rFonts w:ascii="Arial" w:hAnsi="Arial" w:cs="Arial"/>
                <w:color w:val="000000"/>
                <w:kern w:val="0"/>
                <w:sz w:val="20"/>
                <w:szCs w:val="20"/>
              </w:rPr>
            </w:pPr>
          </w:p>
        </w:tc>
      </w:tr>
      <w:tr>
        <w:trPr>
          <w:trHeight w:val="255" w:hRule="atLeast"/>
        </w:trPr>
        <w:tc>
          <w:tcPr>
            <w:tcW w:w="52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62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87"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公开07表</w:t>
            </w:r>
          </w:p>
        </w:tc>
      </w:tr>
      <w:tr>
        <w:trPr>
          <w:trHeight w:val="255" w:hRule="atLeast"/>
        </w:trPr>
        <w:tc>
          <w:tcPr>
            <w:tcW w:w="1948" w:type="dxa"/>
            <w:gridSpan w:val="2"/>
            <w:tcBorders>
              <w:top w:val="nil"/>
              <w:left w:val="nil"/>
              <w:bottom w:val="nil"/>
              <w:right w:val="nil"/>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部门：洛阳市老城区教育局</w:t>
            </w: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62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2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87"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rPr>
          <w:trHeight w:val="308" w:hRule="atLeast"/>
        </w:trPr>
        <w:tc>
          <w:tcPr>
            <w:tcW w:w="10136"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预算数</w:t>
            </w:r>
          </w:p>
        </w:tc>
        <w:tc>
          <w:tcPr>
            <w:tcW w:w="3945"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rPr>
          <w:trHeight w:val="308" w:hRule="atLeast"/>
        </w:trPr>
        <w:tc>
          <w:tcPr>
            <w:tcW w:w="522"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42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1563"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662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c>
          <w:tcPr>
            <w:tcW w:w="52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674"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1563"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118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r>
      <w:tr>
        <w:trPr>
          <w:trHeight w:val="615" w:hRule="atLeast"/>
        </w:trPr>
        <w:tc>
          <w:tcPr>
            <w:tcW w:w="52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2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52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52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52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662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52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67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52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52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52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118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rPr>
          <w:trHeight w:val="308" w:hRule="atLeast"/>
        </w:trPr>
        <w:tc>
          <w:tcPr>
            <w:tcW w:w="522"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42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52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52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52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662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52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67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52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52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52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18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r>
      <w:tr>
        <w:trPr>
          <w:trHeight w:val="308" w:hRule="atLeast"/>
        </w:trPr>
        <w:tc>
          <w:tcPr>
            <w:tcW w:w="522" w:type="dxa"/>
            <w:tcBorders>
              <w:top w:val="nil"/>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2.13</w:t>
            </w:r>
          </w:p>
        </w:tc>
        <w:tc>
          <w:tcPr>
            <w:tcW w:w="142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52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2.13</w:t>
            </w:r>
          </w:p>
        </w:tc>
        <w:tc>
          <w:tcPr>
            <w:tcW w:w="52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52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2.13</w:t>
            </w:r>
          </w:p>
        </w:tc>
        <w:tc>
          <w:tcPr>
            <w:tcW w:w="662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52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2.13</w:t>
            </w:r>
          </w:p>
        </w:tc>
        <w:tc>
          <w:tcPr>
            <w:tcW w:w="67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52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2.13</w:t>
            </w:r>
          </w:p>
        </w:tc>
        <w:tc>
          <w:tcPr>
            <w:tcW w:w="52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52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2.13</w:t>
            </w:r>
          </w:p>
        </w:tc>
        <w:tc>
          <w:tcPr>
            <w:tcW w:w="118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rPr>
          <w:trHeight w:val="615" w:hRule="atLeast"/>
        </w:trPr>
        <w:tc>
          <w:tcPr>
            <w:tcW w:w="14081" w:type="dxa"/>
            <w:gridSpan w:val="12"/>
            <w:tcBorders>
              <w:top w:val="nil"/>
              <w:left w:val="nil"/>
              <w:bottom w:val="nil"/>
              <w:right w:val="nil"/>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注：本表反映部门本年度“三公”经费支出预决算情况。其中，预算数为“三公”经费年初预算数；决算数是包括当年一般公共预算财政拨款和以前年度结转资金安排的实际支出。</w:t>
            </w:r>
          </w:p>
        </w:tc>
      </w:tr>
    </w:tbl>
    <w:p>
      <w:pPr>
        <w:widowControl/>
        <w:jc w:val="left"/>
      </w:pPr>
    </w:p>
    <w:p>
      <w:pPr>
        <w:widowControl/>
        <w:jc w:val="left"/>
      </w:pPr>
    </w:p>
    <w:p>
      <w:pPr>
        <w:widowControl/>
        <w:jc w:val="left"/>
      </w:pPr>
    </w:p>
    <w:p>
      <w:pPr>
        <w:widowControl/>
        <w:jc w:val="left"/>
      </w:pPr>
    </w:p>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
        <w:gridCol w:w="131"/>
        <w:gridCol w:w="130"/>
        <w:gridCol w:w="242"/>
        <w:gridCol w:w="238"/>
        <w:gridCol w:w="3362"/>
        <w:gridCol w:w="352"/>
        <w:gridCol w:w="298"/>
        <w:gridCol w:w="5364"/>
        <w:gridCol w:w="639"/>
        <w:gridCol w:w="352"/>
        <w:gridCol w:w="298"/>
        <w:gridCol w:w="639"/>
        <w:gridCol w:w="1550"/>
        <w:gridCol w:w="236"/>
      </w:tblGrid>
      <w:tr>
        <w:trPr>
          <w:trHeight w:val="390" w:hRule="atLeast"/>
        </w:trPr>
        <w:tc>
          <w:tcPr>
            <w:tcW w:w="250" w:type="dxa"/>
            <w:tcBorders>
              <w:top w:val="nil"/>
              <w:left w:val="nil"/>
              <w:bottom w:val="nil"/>
              <w:right w:val="nil"/>
            </w:tcBorders>
            <w:vAlign w:val="bottom"/>
          </w:tcPr>
          <w:p>
            <w:pPr>
              <w:rPr>
                <w:rFonts w:ascii="Arial" w:hAnsi="Arial" w:cs="Arial"/>
                <w:color w:val="000000"/>
                <w:sz w:val="20"/>
                <w:szCs w:val="20"/>
              </w:rPr>
            </w:pPr>
          </w:p>
        </w:tc>
        <w:tc>
          <w:tcPr>
            <w:tcW w:w="261" w:type="dxa"/>
            <w:gridSpan w:val="2"/>
            <w:tcBorders>
              <w:top w:val="nil"/>
              <w:left w:val="nil"/>
              <w:bottom w:val="nil"/>
              <w:right w:val="nil"/>
            </w:tcBorders>
            <w:vAlign w:val="bottom"/>
          </w:tcPr>
          <w:p>
            <w:pPr>
              <w:rPr>
                <w:rFonts w:ascii="Arial" w:hAnsi="Arial" w:cs="Arial"/>
                <w:color w:val="000000"/>
                <w:sz w:val="20"/>
                <w:szCs w:val="20"/>
              </w:rPr>
            </w:pPr>
          </w:p>
        </w:tc>
        <w:tc>
          <w:tcPr>
            <w:tcW w:w="242" w:type="dxa"/>
            <w:tcBorders>
              <w:top w:val="nil"/>
              <w:left w:val="nil"/>
              <w:bottom w:val="nil"/>
              <w:right w:val="nil"/>
            </w:tcBorders>
            <w:vAlign w:val="bottom"/>
          </w:tcPr>
          <w:p>
            <w:pPr>
              <w:rPr>
                <w:rFonts w:ascii="Arial" w:hAnsi="Arial" w:cs="Arial"/>
                <w:color w:val="000000"/>
                <w:sz w:val="20"/>
                <w:szCs w:val="20"/>
              </w:rPr>
            </w:pPr>
          </w:p>
        </w:tc>
        <w:tc>
          <w:tcPr>
            <w:tcW w:w="238" w:type="dxa"/>
            <w:tcBorders>
              <w:top w:val="nil"/>
              <w:left w:val="nil"/>
              <w:bottom w:val="nil"/>
              <w:right w:val="nil"/>
            </w:tcBorders>
            <w:vAlign w:val="bottom"/>
          </w:tcPr>
          <w:p>
            <w:pPr>
              <w:rPr>
                <w:rFonts w:ascii="Arial" w:hAnsi="Arial" w:cs="Arial"/>
                <w:color w:val="000000"/>
                <w:sz w:val="20"/>
                <w:szCs w:val="20"/>
              </w:rPr>
            </w:pPr>
          </w:p>
        </w:tc>
        <w:tc>
          <w:tcPr>
            <w:tcW w:w="3714" w:type="dxa"/>
            <w:gridSpan w:val="2"/>
            <w:tcBorders>
              <w:top w:val="nil"/>
              <w:left w:val="nil"/>
              <w:bottom w:val="nil"/>
              <w:right w:val="nil"/>
            </w:tcBorders>
            <w:vAlign w:val="bottom"/>
          </w:tcPr>
          <w:p>
            <w:pPr>
              <w:rPr>
                <w:rFonts w:ascii="Arial" w:hAnsi="Arial" w:cs="Arial"/>
                <w:color w:val="000000"/>
                <w:sz w:val="20"/>
                <w:szCs w:val="20"/>
              </w:rPr>
            </w:pPr>
          </w:p>
        </w:tc>
        <w:tc>
          <w:tcPr>
            <w:tcW w:w="5662" w:type="dxa"/>
            <w:gridSpan w:val="2"/>
            <w:tcBorders>
              <w:top w:val="nil"/>
              <w:left w:val="nil"/>
              <w:bottom w:val="nil"/>
              <w:right w:val="nil"/>
            </w:tcBorders>
            <w:vAlign w:val="bottom"/>
          </w:tcPr>
          <w:p>
            <w:pPr>
              <w:jc w:val="center"/>
              <w:rPr>
                <w:rFonts w:ascii="宋体" w:hAnsi="宋体" w:cs="Arial"/>
                <w:color w:val="000000"/>
                <w:sz w:val="30"/>
                <w:szCs w:val="30"/>
              </w:rPr>
            </w:pPr>
            <w:r>
              <w:rPr>
                <w:rFonts w:hint="eastAsia" w:cs="Arial"/>
                <w:color w:val="000000"/>
                <w:sz w:val="30"/>
                <w:szCs w:val="30"/>
              </w:rPr>
              <w:t>政府性基金预算财政拨款收入支出决算表</w:t>
            </w:r>
          </w:p>
        </w:tc>
        <w:tc>
          <w:tcPr>
            <w:tcW w:w="991" w:type="dxa"/>
            <w:gridSpan w:val="2"/>
            <w:tcBorders>
              <w:top w:val="nil"/>
              <w:left w:val="nil"/>
              <w:bottom w:val="nil"/>
              <w:right w:val="nil"/>
            </w:tcBorders>
            <w:vAlign w:val="bottom"/>
          </w:tcPr>
          <w:p>
            <w:pPr>
              <w:rPr>
                <w:rFonts w:ascii="Arial" w:hAnsi="Arial" w:cs="Arial"/>
                <w:color w:val="000000"/>
                <w:sz w:val="20"/>
                <w:szCs w:val="20"/>
              </w:rPr>
            </w:pPr>
          </w:p>
        </w:tc>
        <w:tc>
          <w:tcPr>
            <w:tcW w:w="937" w:type="dxa"/>
            <w:gridSpan w:val="2"/>
            <w:tcBorders>
              <w:top w:val="nil"/>
              <w:left w:val="nil"/>
              <w:bottom w:val="nil"/>
              <w:right w:val="nil"/>
            </w:tcBorders>
            <w:vAlign w:val="bottom"/>
          </w:tcPr>
          <w:p>
            <w:pPr>
              <w:rPr>
                <w:rFonts w:ascii="Arial" w:hAnsi="Arial" w:cs="Arial"/>
                <w:color w:val="000000"/>
                <w:sz w:val="20"/>
                <w:szCs w:val="20"/>
              </w:rPr>
            </w:pPr>
          </w:p>
        </w:tc>
        <w:tc>
          <w:tcPr>
            <w:tcW w:w="1550" w:type="dxa"/>
            <w:tcBorders>
              <w:top w:val="nil"/>
              <w:left w:val="nil"/>
              <w:bottom w:val="nil"/>
              <w:right w:val="nil"/>
            </w:tcBorders>
            <w:vAlign w:val="bottom"/>
          </w:tcPr>
          <w:p>
            <w:pPr>
              <w:rPr>
                <w:rFonts w:ascii="Arial" w:hAnsi="Arial" w:cs="Arial"/>
                <w:color w:val="000000"/>
                <w:sz w:val="20"/>
                <w:szCs w:val="20"/>
              </w:rPr>
            </w:pPr>
          </w:p>
        </w:tc>
        <w:tc>
          <w:tcPr>
            <w:tcW w:w="236" w:type="dxa"/>
            <w:tcBorders>
              <w:top w:val="nil"/>
              <w:left w:val="nil"/>
              <w:bottom w:val="nil"/>
              <w:right w:val="nil"/>
            </w:tcBorders>
            <w:vAlign w:val="bottom"/>
          </w:tcPr>
          <w:p>
            <w:pPr>
              <w:rPr>
                <w:rFonts w:ascii="Arial" w:hAnsi="Arial" w:cs="Arial"/>
                <w:color w:val="000000"/>
                <w:sz w:val="20"/>
                <w:szCs w:val="20"/>
              </w:rPr>
            </w:pPr>
          </w:p>
        </w:tc>
      </w:tr>
      <w:tr>
        <w:trPr>
          <w:gridAfter w:val="1"/>
          <w:wAfter w:w="236" w:type="dxa"/>
          <w:trHeight w:val="255" w:hRule="atLeast"/>
        </w:trPr>
        <w:tc>
          <w:tcPr>
            <w:tcW w:w="381"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37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36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5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536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3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5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63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50"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公开08表</w:t>
            </w:r>
          </w:p>
        </w:tc>
      </w:tr>
      <w:tr>
        <w:trPr>
          <w:gridAfter w:val="1"/>
          <w:wAfter w:w="236" w:type="dxa"/>
          <w:trHeight w:val="255" w:hRule="atLeast"/>
        </w:trPr>
        <w:tc>
          <w:tcPr>
            <w:tcW w:w="4353" w:type="dxa"/>
            <w:gridSpan w:val="6"/>
            <w:tcBorders>
              <w:top w:val="nil"/>
              <w:left w:val="nil"/>
              <w:bottom w:val="nil"/>
              <w:right w:val="nil"/>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部门：洛阳市老城区教育局</w:t>
            </w:r>
          </w:p>
        </w:tc>
        <w:tc>
          <w:tcPr>
            <w:tcW w:w="65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536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3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5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63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50" w:type="dxa"/>
            <w:tcBorders>
              <w:top w:val="nil"/>
              <w:left w:val="nil"/>
              <w:bottom w:val="nil"/>
              <w:right w:val="nil"/>
            </w:tcBorders>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rPr>
          <w:gridAfter w:val="1"/>
          <w:wAfter w:w="236" w:type="dxa"/>
          <w:trHeight w:val="308" w:hRule="atLeast"/>
        </w:trPr>
        <w:tc>
          <w:tcPr>
            <w:tcW w:w="4353"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65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年初结转和结余</w:t>
            </w:r>
          </w:p>
        </w:tc>
        <w:tc>
          <w:tcPr>
            <w:tcW w:w="536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w:t>
            </w:r>
          </w:p>
        </w:tc>
        <w:tc>
          <w:tcPr>
            <w:tcW w:w="1928" w:type="dxa"/>
            <w:gridSpan w:val="4"/>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c>
          <w:tcPr>
            <w:tcW w:w="155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年末结转和结余</w:t>
            </w:r>
          </w:p>
        </w:tc>
      </w:tr>
      <w:tr>
        <w:trPr>
          <w:gridAfter w:val="1"/>
          <w:wAfter w:w="236" w:type="dxa"/>
          <w:trHeight w:val="312" w:hRule="atLeast"/>
        </w:trPr>
        <w:tc>
          <w:tcPr>
            <w:tcW w:w="991" w:type="dxa"/>
            <w:gridSpan w:val="5"/>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3362"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65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5364"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63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650"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63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15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rPr>
          <w:gridAfter w:val="1"/>
          <w:wAfter w:w="236" w:type="dxa"/>
          <w:trHeight w:val="312" w:hRule="atLeast"/>
        </w:trPr>
        <w:tc>
          <w:tcPr>
            <w:tcW w:w="991" w:type="dxa"/>
            <w:gridSpan w:val="5"/>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36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65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536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63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65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63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rPr>
          <w:gridAfter w:val="1"/>
          <w:wAfter w:w="236" w:type="dxa"/>
          <w:trHeight w:val="312" w:hRule="atLeast"/>
        </w:trPr>
        <w:tc>
          <w:tcPr>
            <w:tcW w:w="991" w:type="dxa"/>
            <w:gridSpan w:val="5"/>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36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65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536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63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65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63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rPr>
          <w:gridAfter w:val="1"/>
          <w:wAfter w:w="236" w:type="dxa"/>
          <w:trHeight w:val="308" w:hRule="atLeast"/>
        </w:trPr>
        <w:tc>
          <w:tcPr>
            <w:tcW w:w="4353" w:type="dxa"/>
            <w:gridSpan w:val="6"/>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65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536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63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65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63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55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rPr>
          <w:gridAfter w:val="1"/>
          <w:wAfter w:w="236" w:type="dxa"/>
          <w:trHeight w:val="308" w:hRule="atLeast"/>
        </w:trPr>
        <w:tc>
          <w:tcPr>
            <w:tcW w:w="4353" w:type="dxa"/>
            <w:gridSpan w:val="6"/>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650" w:type="dxa"/>
            <w:gridSpan w:val="2"/>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0.95</w:t>
            </w:r>
          </w:p>
        </w:tc>
        <w:tc>
          <w:tcPr>
            <w:tcW w:w="5364"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6.00</w:t>
            </w:r>
          </w:p>
        </w:tc>
        <w:tc>
          <w:tcPr>
            <w:tcW w:w="639"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2.54</w:t>
            </w:r>
          </w:p>
        </w:tc>
        <w:tc>
          <w:tcPr>
            <w:tcW w:w="650" w:type="dxa"/>
            <w:gridSpan w:val="2"/>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639"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2.54</w:t>
            </w:r>
          </w:p>
        </w:tc>
        <w:tc>
          <w:tcPr>
            <w:tcW w:w="1550" w:type="dxa"/>
            <w:tcBorders>
              <w:top w:val="nil"/>
              <w:left w:val="nil"/>
              <w:bottom w:val="single" w:color="000000" w:sz="4" w:space="0"/>
              <w:right w:val="single" w:color="000000" w:sz="4" w:space="0"/>
            </w:tcBorders>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4.41</w:t>
            </w:r>
          </w:p>
        </w:tc>
      </w:tr>
      <w:tr>
        <w:trPr>
          <w:gridAfter w:val="1"/>
          <w:wAfter w:w="236" w:type="dxa"/>
          <w:trHeight w:val="308" w:hRule="atLeast"/>
        </w:trPr>
        <w:tc>
          <w:tcPr>
            <w:tcW w:w="991" w:type="dxa"/>
            <w:gridSpan w:val="5"/>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229</w:t>
            </w:r>
          </w:p>
        </w:tc>
        <w:tc>
          <w:tcPr>
            <w:tcW w:w="336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650"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0.95</w:t>
            </w:r>
          </w:p>
        </w:tc>
        <w:tc>
          <w:tcPr>
            <w:tcW w:w="536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6.00</w:t>
            </w:r>
          </w:p>
        </w:tc>
        <w:tc>
          <w:tcPr>
            <w:tcW w:w="63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2.54</w:t>
            </w:r>
          </w:p>
        </w:tc>
        <w:tc>
          <w:tcPr>
            <w:tcW w:w="650"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3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2.54</w:t>
            </w:r>
          </w:p>
        </w:tc>
        <w:tc>
          <w:tcPr>
            <w:tcW w:w="155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4.41</w:t>
            </w:r>
          </w:p>
        </w:tc>
      </w:tr>
      <w:tr>
        <w:trPr>
          <w:gridAfter w:val="1"/>
          <w:wAfter w:w="236" w:type="dxa"/>
          <w:trHeight w:val="308" w:hRule="atLeast"/>
        </w:trPr>
        <w:tc>
          <w:tcPr>
            <w:tcW w:w="991" w:type="dxa"/>
            <w:gridSpan w:val="5"/>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22960</w:t>
            </w:r>
          </w:p>
        </w:tc>
        <w:tc>
          <w:tcPr>
            <w:tcW w:w="336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彩票公益金安排的支出</w:t>
            </w:r>
          </w:p>
        </w:tc>
        <w:tc>
          <w:tcPr>
            <w:tcW w:w="650"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0.95</w:t>
            </w:r>
          </w:p>
        </w:tc>
        <w:tc>
          <w:tcPr>
            <w:tcW w:w="536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6.00</w:t>
            </w:r>
          </w:p>
        </w:tc>
        <w:tc>
          <w:tcPr>
            <w:tcW w:w="63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2.54</w:t>
            </w:r>
          </w:p>
        </w:tc>
        <w:tc>
          <w:tcPr>
            <w:tcW w:w="650"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3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2.54</w:t>
            </w:r>
          </w:p>
        </w:tc>
        <w:tc>
          <w:tcPr>
            <w:tcW w:w="155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4.41</w:t>
            </w:r>
          </w:p>
        </w:tc>
      </w:tr>
      <w:tr>
        <w:trPr>
          <w:gridAfter w:val="1"/>
          <w:wAfter w:w="236" w:type="dxa"/>
          <w:trHeight w:val="308" w:hRule="atLeast"/>
        </w:trPr>
        <w:tc>
          <w:tcPr>
            <w:tcW w:w="991" w:type="dxa"/>
            <w:gridSpan w:val="5"/>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2296003</w:t>
            </w:r>
          </w:p>
        </w:tc>
        <w:tc>
          <w:tcPr>
            <w:tcW w:w="336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用于体育事业的彩票公益金支出</w:t>
            </w:r>
          </w:p>
        </w:tc>
        <w:tc>
          <w:tcPr>
            <w:tcW w:w="650"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0.89</w:t>
            </w:r>
          </w:p>
        </w:tc>
        <w:tc>
          <w:tcPr>
            <w:tcW w:w="536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3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0.50</w:t>
            </w:r>
          </w:p>
        </w:tc>
        <w:tc>
          <w:tcPr>
            <w:tcW w:w="650"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3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0.50</w:t>
            </w:r>
          </w:p>
        </w:tc>
        <w:tc>
          <w:tcPr>
            <w:tcW w:w="155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0.39</w:t>
            </w:r>
          </w:p>
        </w:tc>
      </w:tr>
      <w:tr>
        <w:trPr>
          <w:gridAfter w:val="1"/>
          <w:wAfter w:w="236" w:type="dxa"/>
          <w:trHeight w:val="308" w:hRule="atLeast"/>
        </w:trPr>
        <w:tc>
          <w:tcPr>
            <w:tcW w:w="991" w:type="dxa"/>
            <w:gridSpan w:val="5"/>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2296004</w:t>
            </w:r>
          </w:p>
        </w:tc>
        <w:tc>
          <w:tcPr>
            <w:tcW w:w="336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用于教育事业的彩票公益金支出</w:t>
            </w:r>
          </w:p>
        </w:tc>
        <w:tc>
          <w:tcPr>
            <w:tcW w:w="650"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0.05</w:t>
            </w:r>
          </w:p>
        </w:tc>
        <w:tc>
          <w:tcPr>
            <w:tcW w:w="536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6.00</w:t>
            </w:r>
          </w:p>
        </w:tc>
        <w:tc>
          <w:tcPr>
            <w:tcW w:w="63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2.04</w:t>
            </w:r>
          </w:p>
        </w:tc>
        <w:tc>
          <w:tcPr>
            <w:tcW w:w="650"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3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2.04</w:t>
            </w:r>
          </w:p>
        </w:tc>
        <w:tc>
          <w:tcPr>
            <w:tcW w:w="155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4.02</w:t>
            </w:r>
          </w:p>
        </w:tc>
      </w:tr>
      <w:tr>
        <w:trPr>
          <w:gridAfter w:val="1"/>
          <w:wAfter w:w="236" w:type="dxa"/>
          <w:trHeight w:val="308" w:hRule="atLeast"/>
        </w:trPr>
        <w:tc>
          <w:tcPr>
            <w:tcW w:w="991" w:type="dxa"/>
            <w:gridSpan w:val="5"/>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36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50"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536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63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650"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63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5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rPr>
          <w:gridAfter w:val="1"/>
          <w:wAfter w:w="236" w:type="dxa"/>
          <w:trHeight w:val="308" w:hRule="atLeast"/>
        </w:trPr>
        <w:tc>
          <w:tcPr>
            <w:tcW w:w="991" w:type="dxa"/>
            <w:gridSpan w:val="5"/>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36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50"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536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63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650"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63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5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rPr>
          <w:gridAfter w:val="1"/>
          <w:wAfter w:w="236" w:type="dxa"/>
          <w:trHeight w:val="308" w:hRule="atLeast"/>
        </w:trPr>
        <w:tc>
          <w:tcPr>
            <w:tcW w:w="991" w:type="dxa"/>
            <w:gridSpan w:val="5"/>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362"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50"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536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63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650" w:type="dxa"/>
            <w:gridSpan w:val="2"/>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63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5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rPr>
          <w:gridAfter w:val="1"/>
          <w:wAfter w:w="236" w:type="dxa"/>
          <w:trHeight w:val="308" w:hRule="atLeast"/>
        </w:trPr>
        <w:tc>
          <w:tcPr>
            <w:tcW w:w="13845" w:type="dxa"/>
            <w:gridSpan w:val="14"/>
            <w:tcBorders>
              <w:top w:val="nil"/>
              <w:left w:val="nil"/>
              <w:bottom w:val="nil"/>
              <w:right w:val="nil"/>
            </w:tcBorders>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注：本表反映部门本年度政府性基金预算财政拨款收入、支出及结转和结余情况。</w:t>
            </w:r>
          </w:p>
        </w:tc>
      </w:tr>
    </w:tbl>
    <w:p>
      <w:pPr>
        <w:sectPr>
          <w:pgSz w:w="16838" w:h="11906" w:orient="landscape"/>
          <w:pgMar w:top="1800" w:right="1440" w:bottom="1800" w:left="1440" w:header="720" w:footer="720" w:gutter="0"/>
          <w:pgNumType w:fmt="numberInDash"/>
          <w:cols w:space="720" w:num="1"/>
          <w:docGrid w:type="lines" w:linePitch="312"/>
        </w:sectPr>
      </w:pPr>
      <w:r>
        <w:rPr>
          <w:rFonts w:hint="eastAsia"/>
        </w:rPr>
        <w:t xml:space="preserve">                                                      </w:t>
      </w: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2020年度部门决算情况说明</w:t>
      </w:r>
    </w:p>
    <w:p>
      <w:pPr>
        <w:widowControl/>
        <w:jc w:val="left"/>
        <w:sectPr>
          <w:pgSz w:w="11906" w:h="16838"/>
          <w:pgMar w:top="1440" w:right="1800" w:bottom="1440" w:left="1800" w:header="720" w:footer="720" w:gutter="0"/>
          <w:pgNumType w:fmt="numberInDash"/>
          <w:cols w:space="720" w:num="1"/>
          <w:docGrid w:type="lines" w:linePitch="312"/>
        </w:sectPr>
      </w:pP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一、收入支出决算总体情况说明</w:t>
      </w:r>
    </w:p>
    <w:p>
      <w:pPr>
        <w:autoSpaceDE w:val="0"/>
        <w:autoSpaceDN w:val="0"/>
        <w:adjustRightInd w:val="0"/>
        <w:ind w:firstLine="640" w:firstLineChars="200"/>
        <w:jc w:val="left"/>
        <w:rPr>
          <w:rFonts w:hint="eastAsia" w:ascii="仿宋_GB2312" w:eastAsia="仿宋_GB2312" w:cs="宋体"/>
          <w:kern w:val="0"/>
          <w:sz w:val="32"/>
          <w:szCs w:val="32"/>
          <w:lang w:val="zh-CN"/>
        </w:rPr>
      </w:pPr>
      <w:r>
        <w:rPr>
          <w:rFonts w:hint="eastAsia" w:ascii="仿宋_GB2312" w:eastAsia="仿宋_GB2312" w:cs="宋体"/>
          <w:kern w:val="0"/>
          <w:sz w:val="32"/>
          <w:szCs w:val="32"/>
          <w:lang w:val="zh-CN"/>
        </w:rPr>
        <w:t>2020年度收入总计</w:t>
      </w:r>
      <w:r>
        <w:rPr>
          <w:rFonts w:hint="eastAsia" w:ascii="仿宋_GB2312" w:eastAsia="仿宋_GB2312" w:cs="宋体"/>
          <w:kern w:val="0"/>
          <w:sz w:val="32"/>
          <w:szCs w:val="32"/>
        </w:rPr>
        <w:t>18936.55</w:t>
      </w:r>
      <w:r>
        <w:rPr>
          <w:rFonts w:hint="eastAsia" w:ascii="仿宋_GB2312" w:eastAsia="仿宋_GB2312" w:cs="宋体"/>
          <w:kern w:val="0"/>
          <w:sz w:val="32"/>
          <w:szCs w:val="32"/>
          <w:lang w:val="zh-CN"/>
        </w:rPr>
        <w:t>万元。</w:t>
      </w:r>
      <w:r>
        <w:rPr>
          <w:rFonts w:hint="eastAsia" w:ascii="仿宋_GB2312" w:eastAsia="仿宋_GB2312" w:cs="仿宋"/>
          <w:sz w:val="32"/>
          <w:szCs w:val="32"/>
          <w:lang w:val="zh-CN"/>
        </w:rPr>
        <w:t>与上年度相比，收、支总计各减少286.45万元，</w:t>
      </w:r>
      <w:r>
        <w:rPr>
          <w:rFonts w:hint="eastAsia" w:ascii="仿宋_GB2312" w:eastAsia="仿宋_GB2312" w:cs="仿宋"/>
          <w:color w:val="000000"/>
          <w:sz w:val="32"/>
          <w:szCs w:val="32"/>
          <w:lang w:val="zh-CN"/>
        </w:rPr>
        <w:t>减少1.49%。</w:t>
      </w:r>
      <w:r>
        <w:rPr>
          <w:rFonts w:hint="eastAsia" w:ascii="仿宋_GB2312" w:eastAsia="仿宋_GB2312" w:cs="宋体"/>
          <w:color w:val="000000"/>
          <w:kern w:val="0"/>
          <w:sz w:val="32"/>
          <w:szCs w:val="32"/>
          <w:lang w:val="zh-CN"/>
        </w:rPr>
        <w:t>主要原因是</w:t>
      </w:r>
      <w:r>
        <w:rPr>
          <w:rFonts w:hint="eastAsia" w:ascii="仿宋_GB2312" w:eastAsia="仿宋_GB2312" w:cs="宋体"/>
          <w:kern w:val="0"/>
          <w:sz w:val="32"/>
          <w:szCs w:val="32"/>
          <w:lang w:val="zh-CN"/>
        </w:rPr>
        <w:t>教育附加费拨付减少。</w:t>
      </w:r>
    </w:p>
    <w:p>
      <w:pPr>
        <w:autoSpaceDE w:val="0"/>
        <w:autoSpaceDN w:val="0"/>
        <w:adjustRightInd w:val="0"/>
        <w:ind w:firstLine="640" w:firstLineChars="200"/>
        <w:jc w:val="left"/>
        <w:rPr>
          <w:rFonts w:ascii="仿宋_GB2312" w:eastAsia="仿宋_GB2312" w:cs="宋体"/>
          <w:kern w:val="0"/>
          <w:sz w:val="32"/>
          <w:szCs w:val="32"/>
          <w:lang w:val="zh-CN"/>
        </w:rPr>
      </w:pPr>
      <w:r>
        <w:rPr>
          <w:rFonts w:hint="eastAsia" w:ascii="仿宋_GB2312" w:eastAsia="仿宋_GB2312" w:cs="宋体"/>
          <w:kern w:val="0"/>
          <w:sz w:val="32"/>
          <w:szCs w:val="32"/>
          <w:lang w:val="zh-CN"/>
        </w:rPr>
        <w:t>二、收入决算情况说明</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2020年度收入合计</w:t>
      </w:r>
      <w:r>
        <w:rPr>
          <w:rFonts w:hint="eastAsia" w:ascii="仿宋_GB2312" w:eastAsia="仿宋_GB2312" w:cs="宋体"/>
          <w:kern w:val="0"/>
          <w:sz w:val="32"/>
          <w:szCs w:val="32"/>
        </w:rPr>
        <w:t>17488.56</w:t>
      </w:r>
      <w:r>
        <w:rPr>
          <w:rFonts w:hint="eastAsia" w:ascii="仿宋_GB2312" w:eastAsia="仿宋_GB2312" w:cs="宋体"/>
          <w:kern w:val="0"/>
          <w:sz w:val="32"/>
          <w:szCs w:val="32"/>
          <w:lang w:val="zh-CN"/>
        </w:rPr>
        <w:t>万元，其中：财政拨款收入17488.56万元，占</w:t>
      </w:r>
      <w:r>
        <w:rPr>
          <w:rFonts w:hint="eastAsia" w:ascii="仿宋_GB2312" w:eastAsia="仿宋_GB2312" w:cs="宋体"/>
          <w:kern w:val="0"/>
          <w:sz w:val="32"/>
          <w:szCs w:val="32"/>
        </w:rPr>
        <w:t>100</w:t>
      </w:r>
      <w:r>
        <w:rPr>
          <w:rFonts w:hint="eastAsia" w:ascii="仿宋_GB2312" w:eastAsia="仿宋_GB2312" w:cs="宋体"/>
          <w:kern w:val="0"/>
          <w:sz w:val="32"/>
          <w:szCs w:val="32"/>
          <w:lang w:val="zh-CN"/>
        </w:rPr>
        <w:t>%；上级补助收入0万元，占0%；事业收入</w:t>
      </w:r>
      <w:r>
        <w:rPr>
          <w:rFonts w:hint="eastAsia" w:ascii="仿宋_GB2312" w:eastAsia="仿宋_GB2312" w:cs="宋体"/>
          <w:kern w:val="0"/>
          <w:sz w:val="32"/>
          <w:szCs w:val="32"/>
        </w:rPr>
        <w:t>0</w:t>
      </w:r>
      <w:r>
        <w:rPr>
          <w:rFonts w:hint="eastAsia" w:ascii="仿宋_GB2312" w:eastAsia="仿宋_GB2312" w:cs="宋体"/>
          <w:kern w:val="0"/>
          <w:sz w:val="32"/>
          <w:szCs w:val="32"/>
          <w:lang w:val="zh-CN"/>
        </w:rPr>
        <w:t>万元，占0%；经营收入0万元，占0%；附属单位上缴收入0万元，占0%；其他收入0万元，占0%。</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三、支出决算情况说明</w:t>
      </w:r>
    </w:p>
    <w:p>
      <w:pPr>
        <w:autoSpaceDE w:val="0"/>
        <w:autoSpaceDN w:val="0"/>
        <w:adjustRightInd w:val="0"/>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2020年度支出合计18251.97万元，其中：基本支出</w:t>
      </w:r>
      <w:r>
        <w:rPr>
          <w:rFonts w:hint="eastAsia" w:ascii="仿宋_GB2312" w:eastAsia="仿宋_GB2312" w:cs="宋体"/>
          <w:kern w:val="0"/>
          <w:sz w:val="32"/>
          <w:szCs w:val="32"/>
        </w:rPr>
        <w:t>16261.25</w:t>
      </w:r>
      <w:r>
        <w:rPr>
          <w:rFonts w:hint="eastAsia" w:ascii="仿宋_GB2312" w:eastAsia="仿宋_GB2312" w:cs="宋体"/>
          <w:kern w:val="0"/>
          <w:sz w:val="32"/>
          <w:szCs w:val="32"/>
          <w:lang w:val="zh-CN"/>
        </w:rPr>
        <w:t>万元，占89.09%；项目支出</w:t>
      </w:r>
      <w:r>
        <w:rPr>
          <w:rFonts w:hint="eastAsia" w:ascii="仿宋_GB2312" w:eastAsia="仿宋_GB2312" w:cs="宋体"/>
          <w:kern w:val="0"/>
          <w:sz w:val="32"/>
          <w:szCs w:val="32"/>
        </w:rPr>
        <w:t>1990.72</w:t>
      </w:r>
      <w:r>
        <w:rPr>
          <w:rFonts w:hint="eastAsia" w:ascii="仿宋_GB2312" w:eastAsia="仿宋_GB2312" w:cs="宋体"/>
          <w:kern w:val="0"/>
          <w:sz w:val="32"/>
          <w:szCs w:val="32"/>
          <w:lang w:val="zh-CN"/>
        </w:rPr>
        <w:t>万元，占</w:t>
      </w:r>
      <w:r>
        <w:rPr>
          <w:rFonts w:hint="eastAsia" w:ascii="仿宋_GB2312" w:eastAsia="仿宋_GB2312" w:cs="宋体"/>
          <w:kern w:val="0"/>
          <w:sz w:val="32"/>
          <w:szCs w:val="32"/>
        </w:rPr>
        <w:t>10.91</w:t>
      </w:r>
      <w:r>
        <w:rPr>
          <w:rFonts w:hint="eastAsia" w:ascii="仿宋_GB2312" w:eastAsia="仿宋_GB2312" w:cs="宋体"/>
          <w:kern w:val="0"/>
          <w:sz w:val="32"/>
          <w:szCs w:val="32"/>
          <w:lang w:val="zh-CN"/>
        </w:rPr>
        <w:t>%；上缴上级支出0万元，占0%；经营支出0万元，占0%；对附属单位补助支出0万元，占0%。</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四、财政拨款收入支出决算总体情况说明</w:t>
      </w:r>
    </w:p>
    <w:p>
      <w:pPr>
        <w:autoSpaceDE w:val="0"/>
        <w:autoSpaceDN w:val="0"/>
        <w:adjustRightInd w:val="0"/>
        <w:ind w:firstLine="640" w:firstLineChars="200"/>
        <w:jc w:val="left"/>
        <w:rPr>
          <w:rFonts w:hint="eastAsia" w:ascii="仿宋_GB2312" w:eastAsia="仿宋_GB2312" w:cs="宋体"/>
          <w:kern w:val="0"/>
          <w:sz w:val="32"/>
          <w:szCs w:val="32"/>
          <w:lang w:val="zh-CN"/>
        </w:rPr>
      </w:pPr>
      <w:r>
        <w:rPr>
          <w:rFonts w:hint="eastAsia" w:ascii="仿宋_GB2312" w:eastAsia="仿宋_GB2312" w:cs="宋体"/>
          <w:kern w:val="0"/>
          <w:sz w:val="32"/>
          <w:szCs w:val="32"/>
          <w:lang w:val="zh-CN"/>
        </w:rPr>
        <w:t>2020年度收入总计</w:t>
      </w:r>
      <w:r>
        <w:rPr>
          <w:rFonts w:hint="eastAsia" w:ascii="仿宋_GB2312" w:eastAsia="仿宋_GB2312" w:cs="宋体"/>
          <w:kern w:val="0"/>
          <w:sz w:val="32"/>
          <w:szCs w:val="32"/>
        </w:rPr>
        <w:t>18936.55</w:t>
      </w:r>
      <w:r>
        <w:rPr>
          <w:rFonts w:hint="eastAsia" w:ascii="仿宋_GB2312" w:eastAsia="仿宋_GB2312" w:cs="宋体"/>
          <w:kern w:val="0"/>
          <w:sz w:val="32"/>
          <w:szCs w:val="32"/>
          <w:lang w:val="zh-CN"/>
        </w:rPr>
        <w:t>万元。</w:t>
      </w:r>
      <w:r>
        <w:rPr>
          <w:rFonts w:hint="eastAsia" w:ascii="仿宋_GB2312" w:eastAsia="仿宋_GB2312" w:cs="仿宋"/>
          <w:sz w:val="32"/>
          <w:szCs w:val="32"/>
          <w:lang w:val="zh-CN"/>
        </w:rPr>
        <w:t>与上年度相比，收、支总计各减少286.45万元，</w:t>
      </w:r>
      <w:r>
        <w:rPr>
          <w:rFonts w:hint="eastAsia" w:ascii="仿宋_GB2312" w:eastAsia="仿宋_GB2312" w:cs="仿宋"/>
          <w:color w:val="000000"/>
          <w:sz w:val="32"/>
          <w:szCs w:val="32"/>
          <w:lang w:val="zh-CN"/>
        </w:rPr>
        <w:t>减少1.49%。</w:t>
      </w:r>
      <w:r>
        <w:rPr>
          <w:rFonts w:hint="eastAsia" w:ascii="仿宋_GB2312" w:eastAsia="仿宋_GB2312" w:cs="宋体"/>
          <w:color w:val="000000"/>
          <w:kern w:val="0"/>
          <w:sz w:val="32"/>
          <w:szCs w:val="32"/>
          <w:lang w:val="zh-CN"/>
        </w:rPr>
        <w:t>主要原因是</w:t>
      </w:r>
      <w:r>
        <w:rPr>
          <w:rFonts w:hint="eastAsia" w:ascii="仿宋_GB2312" w:eastAsia="仿宋_GB2312" w:cs="宋体"/>
          <w:kern w:val="0"/>
          <w:sz w:val="32"/>
          <w:szCs w:val="32"/>
          <w:lang w:val="zh-CN"/>
        </w:rPr>
        <w:t>教育附加费拨付减少。</w:t>
      </w:r>
    </w:p>
    <w:p>
      <w:pPr>
        <w:autoSpaceDE w:val="0"/>
        <w:autoSpaceDN w:val="0"/>
        <w:adjustRightInd w:val="0"/>
        <w:ind w:firstLine="480" w:firstLineChars="150"/>
        <w:jc w:val="left"/>
        <w:rPr>
          <w:rFonts w:ascii="仿宋_GB2312" w:eastAsia="仿宋_GB2312" w:cs="宋体"/>
          <w:kern w:val="0"/>
          <w:sz w:val="32"/>
          <w:szCs w:val="32"/>
          <w:lang w:val="zh-CN"/>
        </w:rPr>
      </w:pPr>
      <w:r>
        <w:rPr>
          <w:rFonts w:hint="eastAsia" w:ascii="仿宋_GB2312" w:eastAsia="仿宋_GB2312" w:cs="宋体"/>
          <w:kern w:val="0"/>
          <w:sz w:val="32"/>
          <w:szCs w:val="32"/>
          <w:lang w:val="zh-CN"/>
        </w:rPr>
        <w:t>五、一般公共预算财政拨款支出决算情况说明</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（一）总体情况。</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2020年度一般公共预算财政拨款支出</w:t>
      </w:r>
      <w:r>
        <w:rPr>
          <w:rFonts w:hint="eastAsia" w:ascii="仿宋_GB2312" w:eastAsia="仿宋_GB2312" w:cs="宋体"/>
          <w:kern w:val="0"/>
          <w:sz w:val="32"/>
          <w:szCs w:val="32"/>
        </w:rPr>
        <w:t>18249.43</w:t>
      </w:r>
      <w:r>
        <w:rPr>
          <w:rFonts w:hint="eastAsia" w:ascii="仿宋_GB2312" w:eastAsia="仿宋_GB2312" w:cs="宋体"/>
          <w:kern w:val="0"/>
          <w:sz w:val="32"/>
          <w:szCs w:val="32"/>
          <w:lang w:val="zh-CN"/>
        </w:rPr>
        <w:t>万元，占本年支出合计的</w:t>
      </w:r>
      <w:r>
        <w:rPr>
          <w:rFonts w:hint="eastAsia" w:ascii="仿宋_GB2312" w:eastAsia="仿宋_GB2312" w:cs="宋体"/>
          <w:kern w:val="0"/>
          <w:sz w:val="32"/>
          <w:szCs w:val="32"/>
        </w:rPr>
        <w:t>99.99</w:t>
      </w:r>
      <w:r>
        <w:rPr>
          <w:rFonts w:hint="eastAsia" w:ascii="仿宋_GB2312" w:eastAsia="仿宋_GB2312" w:cs="宋体"/>
          <w:kern w:val="0"/>
          <w:sz w:val="32"/>
          <w:szCs w:val="32"/>
          <w:lang w:val="zh-CN"/>
        </w:rPr>
        <w:t>%。与上年度相比，一般公共预算财政拨款支出增加</w:t>
      </w:r>
      <w:r>
        <w:rPr>
          <w:rFonts w:hint="eastAsia" w:ascii="仿宋_GB2312" w:eastAsia="仿宋_GB2312" w:cs="宋体"/>
          <w:kern w:val="0"/>
          <w:sz w:val="32"/>
          <w:szCs w:val="32"/>
        </w:rPr>
        <w:t>5890.73万</w:t>
      </w:r>
      <w:r>
        <w:rPr>
          <w:rFonts w:hint="eastAsia" w:ascii="仿宋_GB2312" w:eastAsia="仿宋_GB2312" w:cs="宋体"/>
          <w:kern w:val="0"/>
          <w:sz w:val="32"/>
          <w:szCs w:val="32"/>
          <w:lang w:val="zh-CN"/>
        </w:rPr>
        <w:t>元，增加</w:t>
      </w:r>
      <w:r>
        <w:rPr>
          <w:rFonts w:hint="eastAsia" w:ascii="仿宋_GB2312" w:eastAsia="仿宋_GB2312" w:cs="宋体"/>
          <w:kern w:val="0"/>
          <w:sz w:val="32"/>
          <w:szCs w:val="32"/>
        </w:rPr>
        <w:t>47.66</w:t>
      </w:r>
      <w:r>
        <w:rPr>
          <w:rFonts w:hint="eastAsia" w:ascii="仿宋_GB2312" w:eastAsia="仿宋_GB2312" w:cs="宋体"/>
          <w:kern w:val="0"/>
          <w:sz w:val="32"/>
          <w:szCs w:val="32"/>
          <w:lang w:val="zh-CN"/>
        </w:rPr>
        <w:t>%。主要原因是六中、五十中下放我区各项支出增加。</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（二）结构情况。</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2020年度一般公共预算财政拨款支出</w:t>
      </w:r>
      <w:r>
        <w:rPr>
          <w:rFonts w:hint="eastAsia" w:ascii="仿宋_GB2312" w:eastAsia="仿宋_GB2312" w:cs="宋体"/>
          <w:kern w:val="0"/>
          <w:sz w:val="32"/>
          <w:szCs w:val="32"/>
        </w:rPr>
        <w:t>18249.43</w:t>
      </w:r>
      <w:r>
        <w:rPr>
          <w:rFonts w:hint="eastAsia" w:ascii="仿宋_GB2312" w:eastAsia="仿宋_GB2312" w:cs="宋体"/>
          <w:kern w:val="0"/>
          <w:sz w:val="32"/>
          <w:szCs w:val="32"/>
          <w:lang w:val="zh-CN"/>
        </w:rPr>
        <w:t>万元，主要用于以下方面：教育支出</w:t>
      </w:r>
      <w:r>
        <w:rPr>
          <w:rFonts w:hint="eastAsia" w:ascii="仿宋_GB2312" w:eastAsia="仿宋_GB2312" w:cs="宋体"/>
          <w:kern w:val="0"/>
          <w:sz w:val="32"/>
          <w:szCs w:val="32"/>
        </w:rPr>
        <w:t>14996.5</w:t>
      </w:r>
      <w:r>
        <w:rPr>
          <w:rFonts w:hint="eastAsia" w:ascii="仿宋_GB2312" w:eastAsia="仿宋_GB2312" w:cs="宋体"/>
          <w:kern w:val="0"/>
          <w:sz w:val="32"/>
          <w:szCs w:val="32"/>
          <w:lang w:val="zh-CN"/>
        </w:rPr>
        <w:t>万元，占</w:t>
      </w:r>
      <w:r>
        <w:rPr>
          <w:rFonts w:hint="eastAsia" w:ascii="仿宋_GB2312" w:eastAsia="仿宋_GB2312" w:cs="宋体"/>
          <w:kern w:val="0"/>
          <w:sz w:val="32"/>
          <w:szCs w:val="32"/>
        </w:rPr>
        <w:t>82.18</w:t>
      </w:r>
      <w:r>
        <w:rPr>
          <w:rFonts w:hint="eastAsia" w:ascii="仿宋_GB2312" w:eastAsia="仿宋_GB2312" w:cs="宋体"/>
          <w:kern w:val="0"/>
          <w:sz w:val="32"/>
          <w:szCs w:val="32"/>
          <w:lang w:val="zh-CN"/>
        </w:rPr>
        <w:t>%；社会保障和就业支出</w:t>
      </w:r>
      <w:r>
        <w:rPr>
          <w:rFonts w:hint="eastAsia" w:ascii="仿宋_GB2312" w:eastAsia="仿宋_GB2312" w:cs="宋体"/>
          <w:kern w:val="0"/>
          <w:sz w:val="32"/>
          <w:szCs w:val="32"/>
        </w:rPr>
        <w:t>1872.29万元，占10.26</w:t>
      </w:r>
      <w:r>
        <w:rPr>
          <w:rFonts w:hint="eastAsia" w:ascii="仿宋_GB2312" w:eastAsia="仿宋_GB2312" w:cs="宋体"/>
          <w:kern w:val="0"/>
          <w:sz w:val="32"/>
          <w:szCs w:val="32"/>
          <w:lang w:val="zh-CN"/>
        </w:rPr>
        <w:t>%；医疗卫生与计划生育支出</w:t>
      </w:r>
      <w:r>
        <w:rPr>
          <w:rFonts w:hint="eastAsia" w:ascii="仿宋_GB2312" w:eastAsia="仿宋_GB2312" w:cs="宋体"/>
          <w:kern w:val="0"/>
          <w:sz w:val="32"/>
          <w:szCs w:val="32"/>
        </w:rPr>
        <w:t>592.71</w:t>
      </w:r>
      <w:r>
        <w:rPr>
          <w:rFonts w:hint="eastAsia" w:ascii="仿宋_GB2312" w:eastAsia="仿宋_GB2312" w:cs="宋体"/>
          <w:kern w:val="0"/>
          <w:sz w:val="32"/>
          <w:szCs w:val="32"/>
          <w:lang w:val="zh-CN"/>
        </w:rPr>
        <w:t>万元，占</w:t>
      </w:r>
      <w:r>
        <w:rPr>
          <w:rFonts w:hint="eastAsia" w:ascii="仿宋_GB2312" w:eastAsia="仿宋_GB2312" w:cs="宋体"/>
          <w:kern w:val="0"/>
          <w:sz w:val="32"/>
          <w:szCs w:val="32"/>
        </w:rPr>
        <w:t>3.25</w:t>
      </w:r>
      <w:r>
        <w:rPr>
          <w:rFonts w:hint="eastAsia" w:ascii="仿宋_GB2312" w:eastAsia="仿宋_GB2312" w:cs="宋体"/>
          <w:kern w:val="0"/>
          <w:sz w:val="32"/>
          <w:szCs w:val="32"/>
          <w:lang w:val="zh-CN"/>
        </w:rPr>
        <w:t>%；住房保障支出</w:t>
      </w:r>
      <w:r>
        <w:rPr>
          <w:rFonts w:hint="eastAsia" w:ascii="仿宋_GB2312" w:eastAsia="仿宋_GB2312" w:cs="宋体"/>
          <w:kern w:val="0"/>
          <w:sz w:val="32"/>
          <w:szCs w:val="32"/>
        </w:rPr>
        <w:t>787.93</w:t>
      </w:r>
      <w:r>
        <w:rPr>
          <w:rFonts w:hint="eastAsia" w:ascii="仿宋_GB2312" w:eastAsia="仿宋_GB2312" w:cs="宋体"/>
          <w:kern w:val="0"/>
          <w:sz w:val="32"/>
          <w:szCs w:val="32"/>
          <w:lang w:val="zh-CN"/>
        </w:rPr>
        <w:t>万元，占</w:t>
      </w:r>
      <w:r>
        <w:rPr>
          <w:rFonts w:hint="eastAsia" w:ascii="仿宋_GB2312" w:eastAsia="仿宋_GB2312" w:cs="宋体"/>
          <w:kern w:val="0"/>
          <w:sz w:val="32"/>
          <w:szCs w:val="32"/>
        </w:rPr>
        <w:t>4.32</w:t>
      </w:r>
      <w:r>
        <w:rPr>
          <w:rFonts w:hint="eastAsia" w:ascii="仿宋_GB2312" w:eastAsia="仿宋_GB2312" w:cs="宋体"/>
          <w:kern w:val="0"/>
          <w:sz w:val="32"/>
          <w:szCs w:val="32"/>
          <w:lang w:val="zh-CN"/>
        </w:rPr>
        <w:t>%。</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（三）具体情况。</w:t>
      </w:r>
    </w:p>
    <w:p>
      <w:pPr>
        <w:autoSpaceDE w:val="0"/>
        <w:autoSpaceDN w:val="0"/>
        <w:adjustRightInd w:val="0"/>
        <w:ind w:firstLine="640" w:firstLineChars="200"/>
        <w:jc w:val="left"/>
        <w:rPr>
          <w:rFonts w:ascii="仿宋_GB2312" w:eastAsia="仿宋_GB2312" w:cs="宋体"/>
          <w:kern w:val="0"/>
          <w:sz w:val="32"/>
          <w:szCs w:val="32"/>
          <w:lang w:val="zh-CN"/>
        </w:rPr>
      </w:pPr>
      <w:r>
        <w:rPr>
          <w:rFonts w:hint="eastAsia" w:ascii="仿宋_GB2312" w:eastAsia="仿宋_GB2312" w:cs="宋体"/>
          <w:kern w:val="0"/>
          <w:sz w:val="32"/>
          <w:szCs w:val="32"/>
          <w:lang w:val="zh-CN"/>
        </w:rPr>
        <w:t>2020年度一般公共预算财政拨款支出年初预算</w:t>
      </w:r>
      <w:r>
        <w:rPr>
          <w:rFonts w:hint="eastAsia" w:ascii="仿宋_GB2312" w:eastAsia="仿宋_GB2312" w:cs="宋体"/>
          <w:kern w:val="0"/>
          <w:sz w:val="32"/>
          <w:szCs w:val="32"/>
        </w:rPr>
        <w:t>9468.06</w:t>
      </w:r>
      <w:r>
        <w:rPr>
          <w:rFonts w:hint="eastAsia" w:ascii="仿宋_GB2312" w:eastAsia="仿宋_GB2312" w:cs="宋体"/>
          <w:kern w:val="0"/>
          <w:sz w:val="32"/>
          <w:szCs w:val="32"/>
          <w:lang w:val="zh-CN"/>
        </w:rPr>
        <w:t>万元，支出决算为</w:t>
      </w:r>
      <w:r>
        <w:rPr>
          <w:rFonts w:hint="eastAsia" w:ascii="仿宋_GB2312" w:eastAsia="仿宋_GB2312" w:cs="宋体"/>
          <w:kern w:val="0"/>
          <w:sz w:val="32"/>
          <w:szCs w:val="32"/>
        </w:rPr>
        <w:t>18249.43</w:t>
      </w:r>
      <w:r>
        <w:rPr>
          <w:rFonts w:hint="eastAsia" w:ascii="仿宋_GB2312" w:eastAsia="仿宋_GB2312" w:cs="宋体"/>
          <w:kern w:val="0"/>
          <w:sz w:val="32"/>
          <w:szCs w:val="32"/>
          <w:lang w:val="zh-CN"/>
        </w:rPr>
        <w:t>万元，完成年初预算的192.75%。其中：</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 xml:space="preserve"> 1．教育支出（类）教育管理（款）行政运行（项）。年初预算为364.46万元，支出决算为423.99万元，完成年初预算的116.33%。决算数与年初预算数存在差异的主要原因是上级转移支付拨款增加。</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zh-CN"/>
        </w:rPr>
        <w:t xml:space="preserve">    2．教育支出（类）教育管理（款）一般行政管理（项）。年初预算为64万元，支出决算为31.5万元，完成年初预算的49.22%。决算数与年初预算数存在差异的主要原因是上级转移支付拨款增加。</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zh-CN"/>
        </w:rPr>
        <w:t xml:space="preserve">    3．教育支出（类）普通教育（款）学前教育（项）。年初预算为0万元，支出决算为13.09万元。决算数与年初预算数存在差异的主要原因是上级学前教育拨款增加。</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zh-CN"/>
        </w:rPr>
        <w:t xml:space="preserve">    4．教育支出（类）普通教育（款）小学教育（项）。年初预算为6285.07万元，支出决算为7871.46万元，完成年初预算的125.24%。决算数与年初预算数存在差异的主要原因是五十中小学部下放我区。</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lang w:val="zh-CN"/>
        </w:rPr>
        <w:t>5．教育支出（类）普通教育（款）初中教育（项）。年初预算为974.91万元，支出决算为4697.4万元，完成年初预算的481.83%。决算数与年初预算数存在差异的主要原因是六中、五十中下放我区。</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zh-CN"/>
        </w:rPr>
        <w:t xml:space="preserve"> </w:t>
      </w: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lang w:val="zh-CN"/>
        </w:rPr>
        <w:t>6．教育支出（类）普通教育（款）其他普通教育支出（项）。年初预算为299万元，支出决算为203.33万元，完成年初预算的68.00%。决算数与年初预算数存在差异的主要原因是工程项目减少。</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lang w:val="zh-CN"/>
        </w:rPr>
        <w:t>7．教育支出（类）特殊教育（款）特殊学校教育支出（项）。年初预算为130.86万元，支出决算为167.64万元，完成年初预算的128.11%。决算数与年初预算数存在差异的主要原因是加大对特殊教育的投入。</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lang w:val="zh-CN"/>
        </w:rPr>
        <w:t>8. 教育支出（类）特殊教育（款）其他特殊教育支出（项）。年初预算为0万元，支出决算为9.5万元，完成年初预算的100%。决算数与年初预算数存在差异的主要原因是加大对特殊教育的投入。</w:t>
      </w:r>
    </w:p>
    <w:p>
      <w:pPr>
        <w:autoSpaceDE w:val="0"/>
        <w:autoSpaceDN w:val="0"/>
        <w:adjustRightInd w:val="0"/>
        <w:jc w:val="left"/>
        <w:rPr>
          <w:rFonts w:hint="eastAsia" w:ascii="仿宋_GB2312" w:eastAsia="仿宋_GB2312" w:cs="宋体"/>
          <w:kern w:val="0"/>
          <w:sz w:val="32"/>
          <w:szCs w:val="32"/>
          <w:lang w:val="zh-CN"/>
        </w:rPr>
      </w:pPr>
    </w:p>
    <w:p>
      <w:pPr>
        <w:autoSpaceDE w:val="0"/>
        <w:autoSpaceDN w:val="0"/>
        <w:adjustRightInd w:val="0"/>
        <w:jc w:val="left"/>
        <w:rPr>
          <w:rFonts w:hint="eastAsia" w:ascii="仿宋_GB2312" w:eastAsia="仿宋_GB2312" w:cs="宋体"/>
          <w:kern w:val="0"/>
          <w:sz w:val="32"/>
          <w:szCs w:val="32"/>
          <w:lang w:val="zh-CN"/>
        </w:rPr>
      </w:pP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zh-CN"/>
        </w:rPr>
        <w:t xml:space="preserve"> </w:t>
      </w: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lang w:val="zh-CN"/>
        </w:rPr>
        <w:t>9. 教育支出（类）进修及培训（款）教师进修支出（项））年初预算为78万元，支出决算为18.67万元，完成年初预算的23.94%。决算数与年初预算数存在差异的主要原因是疫情原因。</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lang w:val="zh-CN"/>
        </w:rPr>
        <w:t>10．教育支出（类）教育费附加安排的支出（款）农村中小学教学设施（项）。年初预算为0万元，支出决算为41.96万元，完成年初预算的100%。决算数与年初预算数存在差异的主要原因是拨付上年未付工程项目款项。</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lang w:val="zh-CN"/>
        </w:rPr>
        <w:t>11．教育支出（类）教育费附加安排的支出（款）城市中小学校舍建设（项）。年初预算为0万元，支出决算为444.68万元，完成年初预算的100%。决算数与年初预算数存在差异的主要原因是拨付上年未付工程项目款项。</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lang w:val="zh-CN"/>
        </w:rPr>
        <w:t>12．教育支出（类）教育费附加安排的支出（款）城市中小学教学设施（项）。年初预算为0万元，支出决算为107.03万元，完成年初预算的100%。决算数与年初预算数存在差异的主要原因是拨付上年未付工程项目款项。</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lang w:val="zh-CN"/>
        </w:rPr>
        <w:t>13．教育支出（类）教育费附加安排的支出（款）其他教育费附加安排的支出（项）。年初预算为0万元，支出决算为966.06万元，完成年初预算的100%。决算数与年初预算数存在差异的主要原因是拨付上年未付工程项目款项。</w:t>
      </w:r>
    </w:p>
    <w:p>
      <w:pPr>
        <w:autoSpaceDE w:val="0"/>
        <w:autoSpaceDN w:val="0"/>
        <w:adjustRightInd w:val="0"/>
        <w:jc w:val="left"/>
        <w:rPr>
          <w:rFonts w:hint="eastAsia" w:ascii="仿宋_GB2312" w:eastAsia="仿宋_GB2312" w:cs="宋体"/>
          <w:kern w:val="0"/>
          <w:sz w:val="32"/>
          <w:szCs w:val="32"/>
          <w:lang w:val="zh-CN"/>
        </w:rPr>
      </w:pP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lang w:val="zh-CN"/>
        </w:rPr>
        <w:t>14．教育支出（类）其它教育支出（款）其它教育支出（项）。年初预算为0万元，支出决算为0.18万元，完成年初预算的100%。决算数与年初预算数存在差异的主要原因是拨付的支持体育事业的彩票公益金。</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lang w:val="zh-CN"/>
        </w:rPr>
        <w:t>15．社会保障和就业支出（类）行政事业单位离退休（款）事业单位离退休（项）。年初预算为0万元，支出决算为1582.99万元。决算数与年初预算数存在差异的主要原因是年初预算列在了教育支出中，后来进行了科目调整。</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lang w:val="zh-CN"/>
        </w:rPr>
        <w:t>16.社会保障和就业支出（类）行政事业单位离退休（款）行政单位离退休（项）。年初预算为16.85万元，支出决算为188万元。决算数与年初预算数存在差异的主要原因是年初预算列在了教育支出中，后来进行了科目调整。</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rPr>
        <w:t>17.</w:t>
      </w:r>
      <w:r>
        <w:rPr>
          <w:rFonts w:hint="eastAsia" w:ascii="仿宋_GB2312" w:eastAsia="仿宋_GB2312" w:cs="宋体"/>
          <w:kern w:val="0"/>
          <w:sz w:val="32"/>
          <w:szCs w:val="32"/>
          <w:lang w:val="zh-CN"/>
        </w:rPr>
        <w:t xml:space="preserve"> 社会保障和就业支出（类）抚恤（款）死亡抚恤（项）。年初预算为0万元，支出决算为101.31万元。决算数与年初预算数存在差异的主要原因是年初预算列在了教育支出中，后来进行了科目调整。</w:t>
      </w:r>
    </w:p>
    <w:p>
      <w:pPr>
        <w:autoSpaceDE w:val="0"/>
        <w:autoSpaceDN w:val="0"/>
        <w:adjustRightInd w:val="0"/>
        <w:jc w:val="left"/>
        <w:rPr>
          <w:rFonts w:hint="eastAsia"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rPr>
        <w:t>18.</w:t>
      </w:r>
      <w:r>
        <w:rPr>
          <w:rFonts w:hint="eastAsia" w:ascii="仿宋_GB2312" w:eastAsia="仿宋_GB2312" w:cs="宋体"/>
          <w:kern w:val="0"/>
          <w:sz w:val="32"/>
          <w:szCs w:val="32"/>
          <w:lang w:val="zh-CN"/>
        </w:rPr>
        <w:t xml:space="preserve"> 卫生健康支出（类）行政事业单位医疗（款）行政单位医疗（项）。年初预算为33.75万元，支出决算为33.06万元。</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rPr>
        <w:t>19.</w:t>
      </w:r>
      <w:r>
        <w:rPr>
          <w:rFonts w:hint="eastAsia" w:ascii="仿宋_GB2312" w:eastAsia="仿宋_GB2312" w:cs="宋体"/>
          <w:kern w:val="0"/>
          <w:sz w:val="32"/>
          <w:szCs w:val="32"/>
          <w:lang w:val="zh-CN"/>
        </w:rPr>
        <w:t xml:space="preserve"> 卫生健康支出（类）行政事业单位医疗（款）事业单位医疗（项）。年初预算为0万元，支出决算为559.65万元。决算数与年初预算数存在差异的主要原因是年初预算列在了教育支出中，后来进行了科目调整。</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rPr>
        <w:t>20.</w:t>
      </w:r>
      <w:r>
        <w:rPr>
          <w:rFonts w:hint="eastAsia" w:ascii="仿宋_GB2312" w:eastAsia="仿宋_GB2312" w:cs="宋体"/>
          <w:kern w:val="0"/>
          <w:sz w:val="32"/>
          <w:szCs w:val="32"/>
          <w:lang w:val="zh-CN"/>
        </w:rPr>
        <w:t xml:space="preserve"> 住房保障支出（类）住房改革支出（款）住房公积金（项）。年初预算为31.14万元，支出决算为787.93万元。决算数与年初预算数存在差异的主要原因是年初预算列在了教育支出中，后来进行了科目调整。</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七、一般公共预算财政拨款“三公”经费支出决算情况说明</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（一）“三公”经费财政拨款支出决算总体情况说明。</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2020年度“三公”经费财政拨款支出预算为</w:t>
      </w:r>
      <w:r>
        <w:rPr>
          <w:rFonts w:hint="eastAsia" w:ascii="仿宋_GB2312" w:eastAsia="仿宋_GB2312" w:cs="宋体"/>
          <w:kern w:val="0"/>
          <w:sz w:val="32"/>
          <w:szCs w:val="32"/>
        </w:rPr>
        <w:t>3.13</w:t>
      </w:r>
      <w:r>
        <w:rPr>
          <w:rFonts w:hint="eastAsia" w:ascii="仿宋_GB2312" w:eastAsia="仿宋_GB2312" w:cs="宋体"/>
          <w:kern w:val="0"/>
          <w:sz w:val="32"/>
          <w:szCs w:val="32"/>
          <w:lang w:val="zh-CN"/>
        </w:rPr>
        <w:t>万元，支出决算为</w:t>
      </w:r>
      <w:r>
        <w:rPr>
          <w:rFonts w:hint="eastAsia" w:ascii="仿宋_GB2312" w:eastAsia="仿宋_GB2312" w:cs="宋体"/>
          <w:kern w:val="0"/>
          <w:sz w:val="32"/>
          <w:szCs w:val="32"/>
        </w:rPr>
        <w:t>2.13</w:t>
      </w:r>
      <w:r>
        <w:rPr>
          <w:rFonts w:hint="eastAsia" w:ascii="仿宋_GB2312" w:eastAsia="仿宋_GB2312" w:cs="宋体"/>
          <w:kern w:val="0"/>
          <w:sz w:val="32"/>
          <w:szCs w:val="32"/>
          <w:lang w:val="zh-CN"/>
        </w:rPr>
        <w:t>万元，完成预算的</w:t>
      </w:r>
      <w:r>
        <w:rPr>
          <w:rFonts w:hint="eastAsia" w:ascii="仿宋_GB2312" w:eastAsia="仿宋_GB2312" w:cs="宋体"/>
          <w:kern w:val="0"/>
          <w:sz w:val="32"/>
          <w:szCs w:val="32"/>
        </w:rPr>
        <w:t>68.05</w:t>
      </w:r>
      <w:r>
        <w:rPr>
          <w:rFonts w:hint="eastAsia" w:ascii="仿宋_GB2312" w:eastAsia="仿宋_GB2312" w:cs="宋体"/>
          <w:kern w:val="0"/>
          <w:sz w:val="32"/>
          <w:szCs w:val="32"/>
          <w:lang w:val="zh-CN"/>
        </w:rPr>
        <w:t>%。2020年度“三公”经费支出决算数与预算数存在差异的主要原因是加强了“三公”经费支出的管理，严控支出。</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（二）“三公”经费财政拨款支出决算具体情况说明。</w:t>
      </w:r>
    </w:p>
    <w:p>
      <w:pPr>
        <w:autoSpaceDE w:val="0"/>
        <w:autoSpaceDN w:val="0"/>
        <w:adjustRightInd w:val="0"/>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2020年度“三公”经费财政拨款支出决算中，因公出国（境）费支出决算0万元；公务用车购置及运行费支出决算</w:t>
      </w:r>
      <w:r>
        <w:rPr>
          <w:rFonts w:hint="eastAsia" w:ascii="仿宋_GB2312" w:eastAsia="仿宋_GB2312" w:cs="宋体"/>
          <w:kern w:val="0"/>
          <w:sz w:val="32"/>
          <w:szCs w:val="32"/>
        </w:rPr>
        <w:t>2.13</w:t>
      </w:r>
      <w:r>
        <w:rPr>
          <w:rFonts w:hint="eastAsia" w:ascii="仿宋_GB2312" w:eastAsia="仿宋_GB2312" w:cs="宋体"/>
          <w:kern w:val="0"/>
          <w:sz w:val="32"/>
          <w:szCs w:val="32"/>
          <w:lang w:val="zh-CN"/>
        </w:rPr>
        <w:t>万元，完成预算的</w:t>
      </w:r>
      <w:r>
        <w:rPr>
          <w:rFonts w:hint="eastAsia" w:ascii="仿宋_GB2312" w:eastAsia="仿宋_GB2312" w:cs="宋体"/>
          <w:kern w:val="0"/>
          <w:sz w:val="32"/>
          <w:szCs w:val="32"/>
        </w:rPr>
        <w:t>1.87</w:t>
      </w:r>
      <w:r>
        <w:rPr>
          <w:rFonts w:hint="eastAsia" w:ascii="仿宋_GB2312" w:eastAsia="仿宋_GB2312" w:cs="宋体"/>
          <w:kern w:val="0"/>
          <w:sz w:val="32"/>
          <w:szCs w:val="32"/>
          <w:lang w:val="zh-CN"/>
        </w:rPr>
        <w:t>%，公务接待费支出决算</w:t>
      </w:r>
      <w:r>
        <w:rPr>
          <w:rFonts w:hint="eastAsia" w:ascii="仿宋_GB2312" w:eastAsia="仿宋_GB2312" w:cs="宋体"/>
          <w:kern w:val="0"/>
          <w:sz w:val="32"/>
          <w:szCs w:val="32"/>
        </w:rPr>
        <w:t>0</w:t>
      </w:r>
      <w:r>
        <w:rPr>
          <w:rFonts w:hint="eastAsia" w:ascii="仿宋_GB2312" w:eastAsia="仿宋_GB2312" w:cs="宋体"/>
          <w:kern w:val="0"/>
          <w:sz w:val="32"/>
          <w:szCs w:val="32"/>
          <w:lang w:val="zh-CN"/>
        </w:rPr>
        <w:t>万元。具体情况如下：</w:t>
      </w:r>
    </w:p>
    <w:p>
      <w:pPr>
        <w:autoSpaceDE w:val="0"/>
        <w:autoSpaceDN w:val="0"/>
        <w:adjustRightInd w:val="0"/>
        <w:jc w:val="left"/>
        <w:rPr>
          <w:rFonts w:ascii="仿宋_GB2312" w:hAnsi="仿宋" w:eastAsia="仿宋_GB2312" w:cs="Arial"/>
          <w:color w:val="00000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1．因公出国（境）费年初预算为</w:t>
      </w:r>
      <w:r>
        <w:rPr>
          <w:rFonts w:hint="eastAsia" w:ascii="仿宋_GB2312" w:eastAsia="仿宋_GB2312" w:cs="宋体"/>
          <w:kern w:val="0"/>
          <w:sz w:val="32"/>
          <w:szCs w:val="32"/>
        </w:rPr>
        <w:t>0</w:t>
      </w:r>
      <w:r>
        <w:rPr>
          <w:rFonts w:hint="eastAsia" w:ascii="仿宋_GB2312" w:eastAsia="仿宋_GB2312" w:cs="宋体"/>
          <w:kern w:val="0"/>
          <w:sz w:val="32"/>
          <w:szCs w:val="32"/>
          <w:lang w:val="zh-CN"/>
        </w:rPr>
        <w:t>万元，支出决算为</w:t>
      </w:r>
      <w:r>
        <w:rPr>
          <w:rFonts w:hint="eastAsia" w:ascii="仿宋_GB2312" w:eastAsia="仿宋_GB2312" w:cs="宋体"/>
          <w:kern w:val="0"/>
          <w:sz w:val="32"/>
          <w:szCs w:val="32"/>
        </w:rPr>
        <w:t>0</w:t>
      </w:r>
      <w:r>
        <w:rPr>
          <w:rFonts w:hint="eastAsia" w:ascii="仿宋_GB2312" w:eastAsia="仿宋_GB2312" w:cs="宋体"/>
          <w:kern w:val="0"/>
          <w:sz w:val="32"/>
          <w:szCs w:val="32"/>
          <w:lang w:val="zh-CN"/>
        </w:rPr>
        <w:t>万元。</w:t>
      </w:r>
      <w:r>
        <w:rPr>
          <w:rFonts w:hint="eastAsia" w:ascii="仿宋_GB2312" w:hAnsi="仿宋" w:eastAsia="仿宋_GB2312" w:cs="Arial"/>
          <w:color w:val="000000"/>
          <w:sz w:val="32"/>
          <w:szCs w:val="32"/>
          <w:lang w:val="zh-CN"/>
        </w:rPr>
        <w:t>全年因公出国（境）团组0个，累计0人次。</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2．公务用车购置及运行费初预算为</w:t>
      </w:r>
      <w:r>
        <w:rPr>
          <w:rFonts w:hint="eastAsia" w:ascii="仿宋_GB2312" w:eastAsia="仿宋_GB2312" w:cs="宋体"/>
          <w:kern w:val="0"/>
          <w:sz w:val="32"/>
          <w:szCs w:val="32"/>
        </w:rPr>
        <w:t>2.13</w:t>
      </w:r>
      <w:r>
        <w:rPr>
          <w:rFonts w:hint="eastAsia" w:ascii="仿宋_GB2312" w:eastAsia="仿宋_GB2312" w:cs="宋体"/>
          <w:kern w:val="0"/>
          <w:sz w:val="32"/>
          <w:szCs w:val="32"/>
          <w:lang w:val="zh-CN"/>
        </w:rPr>
        <w:t>万元，支出决算为</w:t>
      </w:r>
      <w:r>
        <w:rPr>
          <w:rFonts w:hint="eastAsia" w:ascii="仿宋_GB2312" w:eastAsia="仿宋_GB2312" w:cs="宋体"/>
          <w:kern w:val="0"/>
          <w:sz w:val="32"/>
          <w:szCs w:val="32"/>
        </w:rPr>
        <w:t>2.13</w:t>
      </w:r>
      <w:r>
        <w:rPr>
          <w:rFonts w:hint="eastAsia" w:ascii="仿宋_GB2312" w:eastAsia="仿宋_GB2312" w:cs="宋体"/>
          <w:kern w:val="0"/>
          <w:sz w:val="32"/>
          <w:szCs w:val="32"/>
          <w:lang w:val="zh-CN"/>
        </w:rPr>
        <w:t>万元，完成年初预算的100%。其中：</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zh-CN"/>
        </w:rPr>
        <w:t>公务用车购置支出为0万元，购置车辆0辆。</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zh-CN"/>
        </w:rPr>
        <w:t>公务用车运行支出</w:t>
      </w:r>
      <w:r>
        <w:rPr>
          <w:rFonts w:hint="eastAsia" w:ascii="仿宋_GB2312" w:eastAsia="仿宋_GB2312" w:cs="宋体"/>
          <w:kern w:val="0"/>
          <w:sz w:val="32"/>
          <w:szCs w:val="32"/>
        </w:rPr>
        <w:t>2.13</w:t>
      </w:r>
      <w:r>
        <w:rPr>
          <w:rFonts w:hint="eastAsia" w:ascii="仿宋_GB2312" w:eastAsia="仿宋_GB2312" w:cs="宋体"/>
          <w:kern w:val="0"/>
          <w:sz w:val="32"/>
          <w:szCs w:val="32"/>
          <w:lang w:val="zh-CN"/>
        </w:rPr>
        <w:t>万元。主要用于车辆过路费、修理费、油费。2020年期末，部门开支财政拨款的公务用车保有量为</w:t>
      </w:r>
      <w:r>
        <w:rPr>
          <w:rFonts w:hint="eastAsia" w:ascii="仿宋_GB2312" w:eastAsia="仿宋_GB2312" w:cs="宋体"/>
          <w:kern w:val="0"/>
          <w:sz w:val="32"/>
          <w:szCs w:val="32"/>
        </w:rPr>
        <w:t>1</w:t>
      </w:r>
      <w:r>
        <w:rPr>
          <w:rFonts w:hint="eastAsia" w:ascii="仿宋_GB2312" w:eastAsia="仿宋_GB2312" w:cs="宋体"/>
          <w:kern w:val="0"/>
          <w:sz w:val="32"/>
          <w:szCs w:val="32"/>
          <w:lang w:val="zh-CN"/>
        </w:rPr>
        <w:t>辆。</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3.公务接待费初预算为0万元，支出决算为</w:t>
      </w:r>
      <w:r>
        <w:rPr>
          <w:rFonts w:hint="eastAsia" w:ascii="仿宋_GB2312" w:eastAsia="仿宋_GB2312" w:cs="宋体"/>
          <w:kern w:val="0"/>
          <w:sz w:val="32"/>
          <w:szCs w:val="32"/>
        </w:rPr>
        <w:t>0</w:t>
      </w:r>
      <w:r>
        <w:rPr>
          <w:rFonts w:hint="eastAsia" w:ascii="仿宋_GB2312" w:eastAsia="仿宋_GB2312" w:cs="宋体"/>
          <w:kern w:val="0"/>
          <w:sz w:val="32"/>
          <w:szCs w:val="32"/>
          <w:lang w:val="zh-CN"/>
        </w:rPr>
        <w:t>万元。</w:t>
      </w:r>
      <w:r>
        <w:rPr>
          <w:rFonts w:hint="eastAsia" w:ascii="仿宋_GB2312" w:hAnsi="仿宋_GB2312" w:eastAsia="仿宋_GB2312" w:cs="仿宋_GB2312"/>
          <w:sz w:val="32"/>
          <w:szCs w:val="32"/>
        </w:rPr>
        <w:t>外宾接待支出0万元。2020年共接待国（境）外来访团组0个、来访外宾0人次（不包括陪同人员）。其他国内公务接待支出0万元。2020年共接待国内来访团组0个、来宾0人次（不包括陪同人员）。</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八、预算绩效情况说明</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lang w:val="zh-CN"/>
        </w:rPr>
        <w:t xml:space="preserve">   （一）绩效管理工作开展情况。</w:t>
      </w:r>
    </w:p>
    <w:p>
      <w:pPr>
        <w:autoSpaceDE w:val="0"/>
        <w:autoSpaceDN w:val="0"/>
        <w:adjustRightInd w:val="0"/>
        <w:jc w:val="left"/>
        <w:rPr>
          <w:rFonts w:ascii="仿宋_GB2312" w:eastAsia="仿宋_GB2312" w:cs="宋体"/>
          <w:kern w:val="0"/>
          <w:sz w:val="32"/>
          <w:szCs w:val="32"/>
          <w:highlight w:val="none"/>
          <w:lang w:val="zh-CN"/>
        </w:rPr>
      </w:pPr>
      <w:r>
        <w:rPr>
          <w:rFonts w:hint="eastAsia" w:ascii="仿宋_GB2312" w:eastAsia="仿宋_GB2312" w:cs="宋体"/>
          <w:kern w:val="0"/>
          <w:sz w:val="32"/>
          <w:szCs w:val="32"/>
          <w:lang w:val="zh-CN"/>
        </w:rPr>
        <w:t xml:space="preserve">    将校方责任</w:t>
      </w:r>
      <w:r>
        <w:rPr>
          <w:rFonts w:hint="eastAsia" w:ascii="仿宋_GB2312" w:eastAsia="仿宋_GB2312" w:cs="宋体"/>
          <w:kern w:val="0"/>
          <w:sz w:val="32"/>
          <w:szCs w:val="32"/>
          <w:highlight w:val="none"/>
          <w:lang w:val="zh-CN"/>
        </w:rPr>
        <w:t>险、农村教师补贴、学生资助、教师培训费、全民健身、学校保安工资、研学、社区教育经费、区级预算项目资金纳入绩效管理。</w:t>
      </w:r>
    </w:p>
    <w:p>
      <w:pPr>
        <w:autoSpaceDE w:val="0"/>
        <w:autoSpaceDN w:val="0"/>
        <w:adjustRightInd w:val="0"/>
        <w:jc w:val="left"/>
        <w:rPr>
          <w:rFonts w:ascii="仿宋_GB2312" w:eastAsia="仿宋_GB2312" w:cs="宋体"/>
          <w:kern w:val="0"/>
          <w:sz w:val="32"/>
          <w:szCs w:val="32"/>
          <w:highlight w:val="none"/>
          <w:lang w:val="zh-CN"/>
        </w:rPr>
      </w:pPr>
      <w:r>
        <w:rPr>
          <w:rFonts w:hint="eastAsia" w:ascii="仿宋_GB2312" w:eastAsia="仿宋_GB2312" w:cs="宋体"/>
          <w:kern w:val="0"/>
          <w:sz w:val="32"/>
          <w:szCs w:val="32"/>
          <w:highlight w:val="none"/>
          <w:lang w:val="zh-CN"/>
        </w:rPr>
        <w:t xml:space="preserve">   （二）项目绩效自评结果。</w:t>
      </w:r>
    </w:p>
    <w:p>
      <w:pPr>
        <w:autoSpaceDE w:val="0"/>
        <w:autoSpaceDN w:val="0"/>
        <w:adjustRightInd w:val="0"/>
        <w:jc w:val="left"/>
        <w:rPr>
          <w:rFonts w:ascii="仿宋_GB2312" w:eastAsia="仿宋_GB2312" w:cs="宋体"/>
          <w:kern w:val="0"/>
          <w:sz w:val="32"/>
          <w:szCs w:val="32"/>
          <w:highlight w:val="none"/>
          <w:lang w:val="zh-CN"/>
        </w:rPr>
      </w:pPr>
      <w:r>
        <w:rPr>
          <w:rFonts w:hint="eastAsia" w:ascii="仿宋_GB2312" w:eastAsia="仿宋_GB2312" w:cs="宋体"/>
          <w:kern w:val="0"/>
          <w:sz w:val="32"/>
          <w:szCs w:val="32"/>
          <w:highlight w:val="none"/>
          <w:lang w:val="zh-CN"/>
        </w:rPr>
        <w:t xml:space="preserve">    加大预算执行，提高项目预算执行率。</w:t>
      </w:r>
    </w:p>
    <w:p>
      <w:pPr>
        <w:autoSpaceDE w:val="0"/>
        <w:autoSpaceDN w:val="0"/>
        <w:adjustRightInd w:val="0"/>
        <w:jc w:val="left"/>
        <w:rPr>
          <w:rFonts w:ascii="仿宋_GB2312" w:eastAsia="仿宋_GB2312" w:cs="宋体"/>
          <w:kern w:val="0"/>
          <w:sz w:val="32"/>
          <w:szCs w:val="32"/>
          <w:highlight w:val="none"/>
          <w:lang w:val="zh-CN"/>
        </w:rPr>
      </w:pPr>
      <w:r>
        <w:rPr>
          <w:rFonts w:hint="eastAsia" w:ascii="仿宋_GB2312" w:eastAsia="仿宋_GB2312" w:cs="宋体"/>
          <w:kern w:val="0"/>
          <w:sz w:val="32"/>
          <w:szCs w:val="32"/>
          <w:highlight w:val="none"/>
          <w:lang w:val="zh-CN"/>
        </w:rPr>
        <w:t xml:space="preserve">   （三）以部门为主体开展的重点绩效评价结果。</w:t>
      </w:r>
    </w:p>
    <w:p>
      <w:pPr>
        <w:autoSpaceDE w:val="0"/>
        <w:autoSpaceDN w:val="0"/>
        <w:adjustRightInd w:val="0"/>
        <w:ind w:firstLine="640" w:firstLineChars="200"/>
        <w:jc w:val="left"/>
        <w:rPr>
          <w:rFonts w:hint="eastAsia" w:ascii="仿宋_GB2312" w:eastAsia="仿宋_GB2312" w:cs="宋体"/>
          <w:kern w:val="0"/>
          <w:sz w:val="32"/>
          <w:szCs w:val="32"/>
          <w:highlight w:val="none"/>
          <w:lang w:val="en-US" w:eastAsia="zh-CN"/>
        </w:rPr>
      </w:pPr>
      <w:r>
        <w:rPr>
          <w:rFonts w:hint="eastAsia" w:ascii="仿宋_GB2312" w:eastAsia="仿宋_GB2312" w:cs="宋体"/>
          <w:kern w:val="0"/>
          <w:sz w:val="32"/>
          <w:szCs w:val="32"/>
          <w:highlight w:val="none"/>
          <w:lang w:val="zh-CN"/>
        </w:rPr>
        <w:t xml:space="preserve">项目预算执行及时、有效，专项经费支出专款专用。  </w:t>
      </w:r>
      <w:r>
        <w:rPr>
          <w:rFonts w:hint="eastAsia" w:ascii="仿宋_GB2312" w:eastAsia="仿宋_GB2312" w:cs="宋体"/>
          <w:kern w:val="0"/>
          <w:sz w:val="32"/>
          <w:szCs w:val="32"/>
          <w:highlight w:val="none"/>
        </w:rPr>
        <w:t xml:space="preserve">  </w:t>
      </w:r>
      <w:r>
        <w:rPr>
          <w:rFonts w:hint="eastAsia" w:ascii="仿宋_GB2312" w:eastAsia="仿宋_GB2312" w:cs="宋体"/>
          <w:kern w:val="0"/>
          <w:sz w:val="32"/>
          <w:szCs w:val="32"/>
          <w:highlight w:val="none"/>
          <w:lang w:val="en-US" w:eastAsia="zh-CN"/>
        </w:rPr>
        <w:t xml:space="preserve">   </w:t>
      </w:r>
    </w:p>
    <w:p>
      <w:pPr>
        <w:autoSpaceDE w:val="0"/>
        <w:autoSpaceDN w:val="0"/>
        <w:adjustRightInd w:val="0"/>
        <w:ind w:firstLine="640" w:firstLineChars="200"/>
        <w:jc w:val="left"/>
        <w:rPr>
          <w:rFonts w:ascii="仿宋_GB2312" w:eastAsia="仿宋_GB2312" w:cs="宋体"/>
          <w:kern w:val="0"/>
          <w:sz w:val="32"/>
          <w:szCs w:val="32"/>
          <w:highlight w:val="none"/>
          <w:lang w:val="zh-CN"/>
        </w:rPr>
      </w:pPr>
      <w:r>
        <w:rPr>
          <w:rFonts w:hint="eastAsia" w:ascii="仿宋_GB2312" w:eastAsia="仿宋_GB2312" w:cs="宋体"/>
          <w:kern w:val="0"/>
          <w:sz w:val="32"/>
          <w:szCs w:val="32"/>
          <w:highlight w:val="none"/>
          <w:lang w:val="zh-CN"/>
        </w:rPr>
        <w:t>九、</w:t>
      </w:r>
      <w:bookmarkStart w:id="0" w:name="_GoBack"/>
      <w:bookmarkEnd w:id="0"/>
      <w:r>
        <w:rPr>
          <w:rFonts w:hint="eastAsia" w:ascii="仿宋_GB2312" w:eastAsia="仿宋_GB2312" w:cs="宋体"/>
          <w:kern w:val="0"/>
          <w:sz w:val="32"/>
          <w:szCs w:val="32"/>
          <w:highlight w:val="none"/>
          <w:lang w:val="zh-CN"/>
        </w:rPr>
        <w:t>政府性基金预算财政拨款支出决算情况说明</w:t>
      </w:r>
    </w:p>
    <w:p>
      <w:pPr>
        <w:autoSpaceDE w:val="0"/>
        <w:autoSpaceDN w:val="0"/>
        <w:adjustRightInd w:val="0"/>
        <w:ind w:firstLine="630"/>
        <w:jc w:val="left"/>
        <w:rPr>
          <w:rFonts w:ascii="仿宋_GB2312" w:eastAsia="仿宋_GB2312" w:cs="宋体"/>
          <w:kern w:val="0"/>
          <w:sz w:val="32"/>
          <w:szCs w:val="32"/>
        </w:rPr>
      </w:pPr>
      <w:r>
        <w:rPr>
          <w:rFonts w:hint="eastAsia" w:ascii="仿宋_GB2312" w:eastAsia="仿宋_GB2312" w:cs="宋体"/>
          <w:kern w:val="0"/>
          <w:sz w:val="32"/>
          <w:szCs w:val="32"/>
          <w:lang w:val="zh-CN"/>
        </w:rPr>
        <w:t>2020年度政府性基金预算财政拨款支出年初预算为0万元，支出决算为</w:t>
      </w:r>
      <w:r>
        <w:rPr>
          <w:rFonts w:hint="eastAsia" w:ascii="仿宋_GB2312" w:eastAsia="仿宋_GB2312" w:cs="宋体"/>
          <w:kern w:val="0"/>
          <w:sz w:val="32"/>
          <w:szCs w:val="32"/>
        </w:rPr>
        <w:t>6</w:t>
      </w:r>
      <w:r>
        <w:rPr>
          <w:rFonts w:hint="eastAsia" w:ascii="仿宋_GB2312" w:eastAsia="仿宋_GB2312" w:cs="宋体"/>
          <w:kern w:val="0"/>
          <w:sz w:val="32"/>
          <w:szCs w:val="32"/>
          <w:lang w:val="zh-CN"/>
        </w:rPr>
        <w:t>万元，完成年初预算的100%。主要用于体育场地设施建设。</w:t>
      </w:r>
      <w:r>
        <w:rPr>
          <w:rFonts w:hint="eastAsia" w:ascii="仿宋_GB2312" w:eastAsia="仿宋_GB2312" w:cs="宋体"/>
          <w:kern w:val="0"/>
          <w:sz w:val="32"/>
          <w:szCs w:val="32"/>
        </w:rPr>
        <w:t xml:space="preserve">    </w:t>
      </w:r>
    </w:p>
    <w:p>
      <w:pPr>
        <w:autoSpaceDE w:val="0"/>
        <w:autoSpaceDN w:val="0"/>
        <w:adjustRightInd w:val="0"/>
        <w:ind w:firstLine="630"/>
        <w:jc w:val="left"/>
        <w:rPr>
          <w:rFonts w:ascii="仿宋_GB2312" w:eastAsia="仿宋_GB2312" w:cs="宋体"/>
          <w:kern w:val="0"/>
          <w:sz w:val="32"/>
          <w:szCs w:val="32"/>
          <w:lang w:val="zh-CN"/>
        </w:rPr>
      </w:pPr>
      <w:r>
        <w:rPr>
          <w:rFonts w:hint="eastAsia" w:ascii="仿宋_GB2312" w:eastAsia="仿宋_GB2312" w:cs="宋体"/>
          <w:kern w:val="0"/>
          <w:sz w:val="32"/>
          <w:szCs w:val="32"/>
          <w:lang w:val="zh-CN"/>
        </w:rPr>
        <w:t>十、机关运行经费支出情况说明</w:t>
      </w:r>
    </w:p>
    <w:p>
      <w:pPr>
        <w:adjustRightInd w:val="0"/>
        <w:snapToGrid w:val="0"/>
        <w:spacing w:line="360" w:lineRule="auto"/>
        <w:ind w:firstLine="640"/>
        <w:rPr>
          <w:rFonts w:ascii="仿宋_GB2312" w:hAnsi="仿宋_GB2312" w:eastAsia="仿宋_GB2312" w:cs="仿宋_GB2312"/>
          <w:sz w:val="32"/>
          <w:szCs w:val="32"/>
          <w:lang w:val="zh-CN"/>
        </w:rPr>
      </w:pPr>
      <w:r>
        <w:rPr>
          <w:rFonts w:hint="eastAsia" w:ascii="仿宋_GB2312" w:hAnsi="仿宋_GB2312" w:eastAsia="仿宋_GB2312" w:cs="仿宋_GB2312"/>
          <w:color w:val="333333"/>
          <w:sz w:val="32"/>
          <w:szCs w:val="32"/>
          <w:shd w:val="clear" w:color="auto" w:fill="FFFFFF"/>
        </w:rPr>
        <w:t xml:space="preserve"> 2020年机关运行经费支出1508.49万元，比2019年增加了415.43万元，增加了38.01</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sz w:val="32"/>
          <w:szCs w:val="32"/>
          <w:shd w:val="clear" w:color="auto" w:fill="FFFFFF"/>
        </w:rPr>
        <w:t>，主要原因是六中、五十中下放我区。</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十一、政府采购支出情况说明</w:t>
      </w:r>
    </w:p>
    <w:p>
      <w:pPr>
        <w:shd w:val="solid" w:color="FFFFFF" w:fill="auto"/>
        <w:autoSpaceDN w:val="0"/>
        <w:spacing w:line="375" w:lineRule="atLeast"/>
        <w:ind w:firstLine="640" w:firstLineChars="200"/>
        <w:rPr>
          <w:rFonts w:ascii="仿宋_GB2312" w:eastAsia="仿宋_GB2312" w:cs="宋体"/>
          <w:kern w:val="0"/>
          <w:sz w:val="32"/>
          <w:szCs w:val="32"/>
          <w:lang w:val="zh-CN"/>
        </w:rPr>
      </w:pPr>
      <w:r>
        <w:rPr>
          <w:rFonts w:hint="eastAsia" w:ascii="仿宋_GB2312" w:hAnsi="仿宋_GB2312" w:eastAsia="仿宋_GB2312" w:cs="仿宋_GB2312"/>
          <w:sz w:val="32"/>
          <w:szCs w:val="32"/>
          <w:shd w:val="clear" w:color="auto" w:fill="FFFFFF"/>
        </w:rPr>
        <w:t>2020年政府采购支出总计0万元，其中政府采购货物支出万元，政府采购工程支出0万元，政府采购服务支出0万元。</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十二、国有资产占用情况说明</w:t>
      </w:r>
    </w:p>
    <w:p>
      <w:pPr>
        <w:autoSpaceDE w:val="0"/>
        <w:autoSpaceDN w:val="0"/>
        <w:adjustRightInd w:val="0"/>
        <w:jc w:val="left"/>
        <w:rPr>
          <w:rFonts w:ascii="仿宋_GB2312" w:eastAsia="仿宋_GB2312" w:cs="宋体"/>
          <w:kern w:val="0"/>
          <w:sz w:val="32"/>
          <w:szCs w:val="32"/>
          <w:lang w:val="zh-CN"/>
        </w:rPr>
      </w:pPr>
      <w:r>
        <w:rPr>
          <w:rFonts w:hint="eastAsia" w:ascii="仿宋_GB2312" w:eastAsia="仿宋_GB2312" w:cs="宋体"/>
          <w:kern w:val="0"/>
          <w:sz w:val="32"/>
          <w:szCs w:val="32"/>
        </w:rPr>
        <w:t xml:space="preserve">    </w:t>
      </w:r>
      <w:r>
        <w:rPr>
          <w:rFonts w:hint="eastAsia" w:ascii="仿宋_GB2312" w:eastAsia="仿宋_GB2312" w:cs="宋体"/>
          <w:kern w:val="0"/>
          <w:sz w:val="32"/>
          <w:szCs w:val="32"/>
          <w:lang w:val="zh-CN"/>
        </w:rPr>
        <w:t>2020年期末，我部门共有车辆</w:t>
      </w:r>
      <w:r>
        <w:rPr>
          <w:rFonts w:hint="eastAsia" w:ascii="仿宋_GB2312" w:eastAsia="仿宋_GB2312" w:cs="宋体"/>
          <w:kern w:val="0"/>
          <w:sz w:val="32"/>
          <w:szCs w:val="32"/>
        </w:rPr>
        <w:t>1</w:t>
      </w:r>
      <w:r>
        <w:rPr>
          <w:rFonts w:hint="eastAsia" w:ascii="仿宋_GB2312" w:eastAsia="仿宋_GB2312" w:cs="宋体"/>
          <w:kern w:val="0"/>
          <w:sz w:val="32"/>
          <w:szCs w:val="32"/>
          <w:lang w:val="zh-CN"/>
        </w:rPr>
        <w:t>辆，其中：省级领导干部用车0辆、主要领导干部用车0辆、机要通信用车0辆、应急保障车0辆、执法执勤用车0辆、特种专业技术用车0辆、离退休干部用车0辆、其他用车</w:t>
      </w:r>
      <w:r>
        <w:rPr>
          <w:rFonts w:hint="eastAsia" w:ascii="仿宋_GB2312" w:eastAsia="仿宋_GB2312" w:cs="宋体"/>
          <w:kern w:val="0"/>
          <w:sz w:val="32"/>
          <w:szCs w:val="32"/>
        </w:rPr>
        <w:t>1</w:t>
      </w:r>
      <w:r>
        <w:rPr>
          <w:rFonts w:hint="eastAsia" w:ascii="仿宋_GB2312" w:eastAsia="仿宋_GB2312" w:cs="宋体"/>
          <w:kern w:val="0"/>
          <w:sz w:val="32"/>
          <w:szCs w:val="32"/>
          <w:lang w:val="zh-CN"/>
        </w:rPr>
        <w:t>辆；单位价值50万元以上通用设备2台（套），单位价值100万元以上专用设备0台（套）。</w:t>
      </w:r>
    </w:p>
    <w:p>
      <w:pPr>
        <w:widowControl/>
        <w:jc w:val="left"/>
        <w:sectPr>
          <w:pgSz w:w="11906" w:h="16838"/>
          <w:pgMar w:top="1440" w:right="1800" w:bottom="1440" w:left="1800" w:header="720" w:footer="720" w:gutter="0"/>
          <w:pgNumType w:fmt="numberInDash"/>
          <w:cols w:space="720" w:num="1"/>
          <w:docGrid w:type="lines" w:linePitch="312"/>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sectPr>
          <w:pgSz w:w="11906" w:h="16838"/>
          <w:pgMar w:top="1440" w:right="1531" w:bottom="1440" w:left="1587" w:header="850" w:footer="992" w:gutter="0"/>
          <w:pgNumType w:fmt="numberInDash"/>
          <w:cols w:space="720" w:num="1"/>
          <w:docGrid w:type="lines" w:linePitch="317"/>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p>
    <w:p/>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Times New Roman"/>
        <w:kern w:val="2"/>
        <w:sz w:val="18"/>
        <w:szCs w:val="18"/>
        <w:lang w:val="en-US" w:eastAsia="zh-CN" w:bidi="ar-SA"/>
      </w:rPr>
      <w:pict>
        <v:shape id="文本框 2" o:spid="_x0000_s1026" type="#_x0000_t202" style="position:absolute;left:0;margin-top:0pt;height:11pt;width:14.15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w:r>
    <w:r>
      <w:rPr>
        <w:rFonts w:ascii="Calibri" w:hAnsi="Calibri" w:eastAsia="宋体" w:cs="Times New Roman"/>
        <w:kern w:val="2"/>
        <w:sz w:val="18"/>
        <w:szCs w:val="18"/>
        <w:lang w:val="en-US" w:eastAsia="zh-CN" w:bidi="ar-SA"/>
      </w:rPr>
      <w:pict>
        <v:shape id="文本框 1" o:spid="_x0000_s1025" type="#_x0000_t202" style="position:absolute;left:0;margin-top:0pt;height:12.8pt;width:9.05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Times New Roman"/>
        <w:kern w:val="2"/>
        <w:sz w:val="18"/>
        <w:szCs w:val="18"/>
        <w:lang w:val="en-US" w:eastAsia="zh-CN" w:bidi="ar-SA"/>
      </w:rPr>
      <w:pict>
        <v:shape id="文本框 3" o:spid="_x0000_s1027" type="#_x0000_t202" style="position:absolute;left:0;margin-top:0pt;height:11pt;width:14.15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- 20 -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chineseCounting"/>
      <w:suff w:val="nothing"/>
      <w:lvlText w:val="%1、"/>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tyle>
  <w:style w:type="paragraph" w:styleId="2">
    <w:name w:val="批注框文本"/>
    <w:basedOn w:val="1"/>
    <w:link w:val="3"/>
    <w:rPr>
      <w:rFonts w:ascii="Calibri" w:hAnsi="Calibri" w:eastAsia="宋体" w:cs="Times New Roman"/>
      <w:sz w:val="18"/>
      <w:szCs w:val="18"/>
    </w:rPr>
  </w:style>
  <w:style w:type="character" w:customStyle="1" w:styleId="3">
    <w:name w:val="批注框文本 Char"/>
    <w:basedOn w:val="4"/>
    <w:link w:val="2"/>
    <w:semiHidden/>
    <w:rPr>
      <w:rFonts w:ascii="Calibri" w:hAnsi="Calibri" w:eastAsia="宋体" w:cs="Times New Roman"/>
      <w:sz w:val="18"/>
      <w:szCs w:val="18"/>
    </w:rPr>
  </w:style>
  <w:style w:type="paragraph" w:styleId="5">
    <w:name w:val="footer"/>
    <w:basedOn w:val="1"/>
    <w:link w:val="6"/>
    <w:pPr>
      <w:tabs>
        <w:tab w:val="center" w:pos="4153"/>
        <w:tab w:val="right" w:pos="8306"/>
      </w:tabs>
      <w:snapToGrid w:val="0"/>
      <w:jc w:val="left"/>
    </w:pPr>
    <w:rPr>
      <w:sz w:val="18"/>
      <w:szCs w:val="18"/>
    </w:rPr>
  </w:style>
  <w:style w:type="character" w:customStyle="1" w:styleId="6">
    <w:name w:val="页脚 Char"/>
    <w:link w:val="5"/>
    <w:semiHidden/>
    <w:rPr>
      <w:sz w:val="18"/>
      <w:szCs w:val="18"/>
    </w:rPr>
  </w:style>
  <w:style w:type="paragraph" w:styleId="7">
    <w:name w:val="header"/>
    <w:basedOn w:val="1"/>
    <w:link w:val="8"/>
    <w:pPr>
      <w:pBdr>
        <w:bottom w:val="single" w:color="auto" w:sz="6" w:space="1"/>
      </w:pBdr>
      <w:tabs>
        <w:tab w:val="center" w:pos="4153"/>
        <w:tab w:val="right" w:pos="8306"/>
      </w:tabs>
      <w:snapToGrid w:val="0"/>
      <w:jc w:val="center"/>
    </w:pPr>
    <w:rPr>
      <w:sz w:val="18"/>
      <w:szCs w:val="18"/>
    </w:rPr>
  </w:style>
  <w:style w:type="character" w:customStyle="1" w:styleId="8">
    <w:name w:val="页眉 Char"/>
    <w:link w:val="7"/>
    <w:semiHidden/>
    <w:rPr>
      <w:sz w:val="18"/>
      <w:szCs w:val="18"/>
    </w:rPr>
  </w:style>
  <w:style w:type="character" w:customStyle="1" w:styleId="9">
    <w:name w:val="页脚 Char1"/>
    <w:basedOn w:val="4"/>
    <w:rPr>
      <w:rFonts w:ascii="Calibri" w:hAnsi="Calibri" w:eastAsia="宋体" w:cs="Times New Roman"/>
      <w:sz w:val="18"/>
      <w:szCs w:val="18"/>
    </w:rPr>
  </w:style>
  <w:style w:type="character" w:customStyle="1" w:styleId="10">
    <w:name w:val="页眉 Char1"/>
    <w:basedOn w:val="4"/>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2569</Words>
  <Characters>14648</Characters>
  <Lines>122</Lines>
  <Paragraphs>34</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2021-06-05T03:45:00Z</dcterms:created>
  <dc:creator>User</dc:creator>
  <dcterms:modified xsi:type="dcterms:W3CDTF">2021-09-18T17:32:12Z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