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ind w:firstLine="3120" w:firstLineChars="600"/>
        <w:jc w:val="both"/>
        <w:rPr>
          <w:rFonts w:hint="eastAsia" w:ascii="黑体" w:hAnsi="黑体" w:eastAsia="黑体" w:cs="黑体"/>
          <w:sz w:val="52"/>
          <w:szCs w:val="52"/>
        </w:rPr>
      </w:pPr>
      <w:r>
        <w:rPr>
          <w:rFonts w:hint="eastAsia" w:ascii="黑体" w:hAnsi="黑体" w:eastAsia="黑体" w:cs="黑体"/>
          <w:sz w:val="52"/>
          <w:szCs w:val="52"/>
          <w:lang w:val="en-US" w:eastAsia="zh-CN"/>
        </w:rPr>
        <w:t>2020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洛阳市老城区总工会部门决算</w:t>
      </w:r>
    </w:p>
    <w:p/>
    <w:p/>
    <w:p/>
    <w:p/>
    <w:p/>
    <w:p/>
    <w:p/>
    <w:p/>
    <w:p/>
    <w:p/>
    <w:p/>
    <w:p/>
    <w:p/>
    <w:p/>
    <w:p/>
    <w:p/>
    <w:p/>
    <w:p>
      <w:pPr>
        <w:jc w:val="center"/>
        <w:rPr>
          <w:rFonts w:hint="eastAsia"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bookmarkStart w:id="0" w:name="_GoBack"/>
      <w:bookmarkEnd w:id="0"/>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lang w:val="en-US"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洛阳市老城区总工会概况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年度部门决算表</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黑体" w:hAnsi="黑体" w:eastAsia="黑体" w:cs="黑体"/>
          <w:sz w:val="32"/>
          <w:szCs w:val="32"/>
        </w:rPr>
      </w:pPr>
      <w:r>
        <w:rPr>
          <w:rFonts w:hint="eastAsia" w:ascii="宋体" w:hAnsi="宋体" w:cs="宋体"/>
          <w:sz w:val="32"/>
          <w:szCs w:val="32"/>
        </w:rPr>
        <w:t>十二、国有资产占用情况说明</w:t>
      </w:r>
    </w:p>
    <w:p>
      <w:pPr>
        <w:jc w:val="left"/>
        <w:rPr>
          <w:rFonts w:hint="eastAsia" w:ascii="宋体" w:hAnsi="宋体" w:cs="宋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sectPr>
          <w:footerReference r:id="rId4" w:type="default"/>
          <w:footerReference r:id="rId5" w:type="even"/>
          <w:pgSz w:w="11906" w:h="16838"/>
          <w:pgMar w:top="1440" w:right="1531" w:bottom="1440" w:left="1587" w:header="850" w:footer="992" w:gutter="0"/>
          <w:pgNumType w:fmt="numberInDash" w:start="1"/>
          <w:cols w:space="720" w:num="1"/>
          <w:docGrid w:type="lines" w:linePitch="317" w:charSpace="0"/>
        </w:sect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numPr>
          <w:ilvl w:val="0"/>
          <w:numId w:val="2"/>
        </w:numPr>
        <w:jc w:val="center"/>
        <w:outlineLvl w:val="0"/>
        <w:rPr>
          <w:rFonts w:hint="eastAsia" w:ascii="黑体" w:hAnsi="黑体" w:eastAsia="黑体" w:cs="黑体"/>
          <w:sz w:val="48"/>
          <w:szCs w:val="48"/>
        </w:rPr>
      </w:pPr>
      <w:r>
        <w:rPr>
          <w:rFonts w:hint="eastAsia" w:ascii="黑体" w:hAnsi="黑体" w:eastAsia="黑体" w:cs="黑体"/>
          <w:sz w:val="48"/>
          <w:szCs w:val="48"/>
        </w:rPr>
        <w:t xml:space="preserve"> 洛阳市老城区总工会概况</w:t>
      </w: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numPr>
          <w:ilvl w:val="0"/>
          <w:numId w:val="0"/>
        </w:numPr>
        <w:jc w:val="center"/>
        <w:outlineLvl w:val="0"/>
        <w:rPr>
          <w:rFonts w:hint="eastAsia" w:ascii="黑体" w:hAnsi="黑体" w:eastAsia="黑体" w:cs="黑体"/>
          <w:sz w:val="48"/>
          <w:szCs w:val="48"/>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i w:val="0"/>
          <w:snapToGrid/>
          <w:color w:val="auto"/>
          <w:sz w:val="32"/>
          <w:szCs w:val="32"/>
          <w:shd w:val="clear" w:color="auto" w:fill="FFFFFF"/>
        </w:rPr>
        <w:t>1、根据党的基本理论、基本路线、基本纲领和工运方针，围绕</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委、</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政府中心工作</w:t>
      </w:r>
      <w:r>
        <w:rPr>
          <w:rFonts w:hint="eastAsia" w:ascii="仿宋_GB2312" w:hAnsi="仿宋_GB2312" w:eastAsia="仿宋_GB2312" w:cs="仿宋_GB2312"/>
          <w:b w:val="0"/>
          <w:bCs w:val="0"/>
          <w:i w:val="0"/>
          <w:snapToGrid/>
          <w:color w:val="auto"/>
          <w:sz w:val="32"/>
          <w:szCs w:val="32"/>
          <w:shd w:val="clear" w:color="auto" w:fill="FFFFFF"/>
          <w:lang w:eastAsia="zh-CN"/>
        </w:rPr>
        <w:t>开展工会工作。</w:t>
      </w:r>
    </w:p>
    <w:p>
      <w:pPr>
        <w:widowControl/>
        <w:ind w:firstLine="640" w:firstLineChars="200"/>
        <w:jc w:val="left"/>
        <w:outlineLvl w:val="1"/>
        <w:rPr>
          <w:rFonts w:hint="eastAsia" w:ascii="黑体" w:hAnsi="黑体" w:eastAsia="黑体" w:cs="黑体"/>
          <w:kern w:val="0"/>
          <w:sz w:val="32"/>
          <w:szCs w:val="32"/>
        </w:rPr>
      </w:pPr>
      <w:r>
        <w:rPr>
          <w:rFonts w:hint="eastAsia" w:ascii="仿宋_GB2312" w:hAnsi="仿宋_GB2312" w:eastAsia="仿宋_GB2312" w:cs="仿宋_GB2312"/>
          <w:b w:val="0"/>
          <w:bCs w:val="0"/>
          <w:i w:val="0"/>
          <w:snapToGrid/>
          <w:color w:val="auto"/>
          <w:sz w:val="32"/>
          <w:szCs w:val="32"/>
          <w:shd w:val="clear" w:color="auto" w:fill="FFFFFF"/>
          <w:lang w:val="en-US" w:eastAsia="zh-CN"/>
        </w:rPr>
        <w:t>2、</w:t>
      </w:r>
      <w:r>
        <w:rPr>
          <w:rFonts w:hint="eastAsia" w:ascii="仿宋_GB2312" w:hAnsi="仿宋_GB2312" w:eastAsia="仿宋_GB2312" w:cs="仿宋_GB2312"/>
          <w:b w:val="0"/>
          <w:bCs w:val="0"/>
          <w:i w:val="0"/>
          <w:snapToGrid/>
          <w:color w:val="auto"/>
          <w:sz w:val="32"/>
          <w:szCs w:val="32"/>
          <w:shd w:val="clear" w:color="auto" w:fill="FFFFFF"/>
        </w:rPr>
        <w:t>依照法律和《中国工会章程》，组织和指导全</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各级工会贯彻落实党的全心全意依靠工人阶级的根本指导方针，进一步突出和履行维护职工合法权益的职能。</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i w:val="0"/>
          <w:snapToGrid/>
          <w:color w:val="auto"/>
          <w:sz w:val="32"/>
          <w:szCs w:val="32"/>
          <w:shd w:val="clear" w:color="auto" w:fill="FFFFFF"/>
        </w:rPr>
        <w:t>3、对涉及职工合法权益的问题进行调查研究，向</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委、</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政府和</w:t>
      </w:r>
      <w:r>
        <w:rPr>
          <w:rFonts w:hint="eastAsia" w:ascii="仿宋_GB2312" w:hAnsi="仿宋_GB2312" w:eastAsia="仿宋_GB2312" w:cs="仿宋_GB2312"/>
          <w:b w:val="0"/>
          <w:bCs w:val="0"/>
          <w:i w:val="0"/>
          <w:snapToGrid/>
          <w:color w:val="auto"/>
          <w:sz w:val="32"/>
          <w:szCs w:val="32"/>
          <w:shd w:val="clear" w:color="auto" w:fill="FFFFFF"/>
          <w:lang w:eastAsia="zh-CN"/>
        </w:rPr>
        <w:t>市</w:t>
      </w:r>
      <w:r>
        <w:rPr>
          <w:rFonts w:hint="eastAsia" w:ascii="仿宋_GB2312" w:hAnsi="仿宋_GB2312" w:eastAsia="仿宋_GB2312" w:cs="仿宋_GB2312"/>
          <w:b w:val="0"/>
          <w:bCs w:val="0"/>
          <w:i w:val="0"/>
          <w:snapToGrid/>
          <w:color w:val="auto"/>
          <w:sz w:val="32"/>
          <w:szCs w:val="32"/>
          <w:shd w:val="clear" w:color="auto" w:fill="FFFFFF"/>
        </w:rPr>
        <w:t>总工会反映职工群众的思想、愿望和要求，提出意见和建议；参与职工重大安全伤亡事故的调查处理。</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i w:val="0"/>
          <w:snapToGrid/>
          <w:color w:val="auto"/>
          <w:sz w:val="32"/>
          <w:szCs w:val="32"/>
          <w:shd w:val="clear" w:color="auto" w:fill="FFFFFF"/>
        </w:rPr>
        <w:t>4、为各级工会提供政策服务；监督检查《中国工会章程》的贯彻执行；研究指导工会自身改革和建设；指导各级工会组织开展以职工代表大会为基本制度的民主选举、民主决策、民主管理和民主监督工作，推动建立平等协商、集体合同制度和监督保证机制。</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lang w:val="en-US" w:eastAsia="zh-CN"/>
        </w:rPr>
        <w:t xml:space="preserve">    5</w:t>
      </w:r>
      <w:r>
        <w:rPr>
          <w:rFonts w:hint="eastAsia" w:ascii="仿宋_GB2312" w:hAnsi="仿宋_GB2312" w:eastAsia="仿宋_GB2312" w:cs="仿宋_GB2312"/>
          <w:b w:val="0"/>
          <w:bCs w:val="0"/>
          <w:i w:val="0"/>
          <w:snapToGrid/>
          <w:color w:val="auto"/>
          <w:sz w:val="32"/>
          <w:szCs w:val="32"/>
          <w:shd w:val="clear" w:color="auto" w:fill="FFFFFF"/>
        </w:rPr>
        <w:t>、协助</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政府做好劳模的推荐工作；负责</w:t>
      </w:r>
      <w:r>
        <w:rPr>
          <w:rFonts w:hint="eastAsia" w:ascii="仿宋_GB2312" w:hAnsi="仿宋_GB2312" w:eastAsia="仿宋_GB2312" w:cs="仿宋_GB2312"/>
          <w:b w:val="0"/>
          <w:bCs w:val="0"/>
          <w:i w:val="0"/>
          <w:snapToGrid/>
          <w:color w:val="auto"/>
          <w:sz w:val="32"/>
          <w:szCs w:val="32"/>
          <w:shd w:val="clear" w:color="auto" w:fill="FFFFFF"/>
          <w:lang w:eastAsia="zh-CN"/>
        </w:rPr>
        <w:t>全区</w:t>
      </w:r>
      <w:r>
        <w:rPr>
          <w:rFonts w:hint="eastAsia" w:ascii="仿宋_GB2312" w:hAnsi="仿宋_GB2312" w:eastAsia="仿宋_GB2312" w:cs="仿宋_GB2312"/>
          <w:b w:val="0"/>
          <w:bCs w:val="0"/>
          <w:i w:val="0"/>
          <w:snapToGrid/>
          <w:color w:val="auto"/>
          <w:sz w:val="32"/>
          <w:szCs w:val="32"/>
          <w:shd w:val="clear" w:color="auto" w:fill="FFFFFF"/>
        </w:rPr>
        <w:t>劳模的管理工作；负责五一劳动奖章、奖状获得者的推荐和管理工作。</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lang w:val="en-US" w:eastAsia="zh-CN"/>
        </w:rPr>
        <w:t xml:space="preserve">    6</w:t>
      </w:r>
      <w:r>
        <w:rPr>
          <w:rFonts w:hint="eastAsia" w:ascii="仿宋_GB2312" w:hAnsi="仿宋_GB2312" w:eastAsia="仿宋_GB2312" w:cs="仿宋_GB2312"/>
          <w:b w:val="0"/>
          <w:bCs w:val="0"/>
          <w:i w:val="0"/>
          <w:snapToGrid/>
          <w:color w:val="auto"/>
          <w:sz w:val="32"/>
          <w:szCs w:val="32"/>
          <w:shd w:val="clear" w:color="auto" w:fill="FFFFFF"/>
        </w:rPr>
        <w:t>、承办</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委、</w:t>
      </w:r>
      <w:r>
        <w:rPr>
          <w:rFonts w:hint="eastAsia" w:ascii="仿宋_GB2312" w:hAnsi="仿宋_GB2312" w:eastAsia="仿宋_GB2312" w:cs="仿宋_GB2312"/>
          <w:b w:val="0"/>
          <w:bCs w:val="0"/>
          <w:i w:val="0"/>
          <w:snapToGrid/>
          <w:color w:val="auto"/>
          <w:sz w:val="32"/>
          <w:szCs w:val="32"/>
          <w:shd w:val="clear" w:color="auto" w:fill="FFFFFF"/>
          <w:lang w:eastAsia="zh-CN"/>
        </w:rPr>
        <w:t>区</w:t>
      </w:r>
      <w:r>
        <w:rPr>
          <w:rFonts w:hint="eastAsia" w:ascii="仿宋_GB2312" w:hAnsi="仿宋_GB2312" w:eastAsia="仿宋_GB2312" w:cs="仿宋_GB2312"/>
          <w:b w:val="0"/>
          <w:bCs w:val="0"/>
          <w:i w:val="0"/>
          <w:snapToGrid/>
          <w:color w:val="auto"/>
          <w:sz w:val="32"/>
          <w:szCs w:val="32"/>
          <w:shd w:val="clear" w:color="auto" w:fill="FFFFFF"/>
        </w:rPr>
        <w:t>政府交办的其他事项。</w:t>
      </w:r>
      <w:r>
        <w:rPr>
          <w:rFonts w:hint="eastAsia" w:ascii="仿宋_GB2312" w:hAnsi="仿宋_GB2312" w:eastAsia="仿宋_GB2312" w:cs="仿宋_GB2312"/>
          <w:b w:val="0"/>
          <w:bCs w:val="0"/>
          <w:color w:val="0000FF"/>
          <w:sz w:val="32"/>
          <w:szCs w:val="32"/>
        </w:rPr>
        <w:br w:type="textWrapping"/>
      </w:r>
      <w:r>
        <w:rPr>
          <w:rFonts w:hint="eastAsia" w:ascii="仿宋_GB2312" w:hAnsi="仿宋_GB2312" w:eastAsia="仿宋_GB2312" w:cs="仿宋_GB2312"/>
          <w:b w:val="0"/>
          <w:bCs w:val="0"/>
          <w:color w:val="0000FF"/>
          <w:sz w:val="32"/>
          <w:szCs w:val="32"/>
          <w:lang w:val="en-US" w:eastAsia="zh-CN"/>
        </w:rPr>
        <w:t xml:space="preserve">     </w:t>
      </w:r>
      <w:r>
        <w:rPr>
          <w:rFonts w:hint="eastAsia" w:ascii="黑体" w:hAnsi="黑体" w:eastAsia="黑体" w:cs="黑体"/>
          <w:kern w:val="0"/>
          <w:sz w:val="32"/>
          <w:szCs w:val="32"/>
        </w:rPr>
        <w:t>二、机构设置</w:t>
      </w:r>
    </w:p>
    <w:p>
      <w:pPr>
        <w:widowControl/>
        <w:jc w:val="left"/>
        <w:rPr>
          <w:rFonts w:hint="eastAsia" w:ascii="仿宋_GB2312" w:hAnsi="仿宋_GB2312" w:eastAsia="仿宋_GB2312" w:cs="仿宋_GB2312"/>
          <w:b w:val="0"/>
          <w:bCs w:val="0"/>
          <w:i w:val="0"/>
          <w:snapToGrid/>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i w:val="0"/>
          <w:snapToGrid/>
          <w:color w:val="auto"/>
          <w:sz w:val="32"/>
          <w:szCs w:val="32"/>
          <w:shd w:val="clear" w:color="auto" w:fill="FFFFFF"/>
        </w:rPr>
        <w:t>洛阳市</w:t>
      </w:r>
      <w:r>
        <w:rPr>
          <w:rFonts w:hint="eastAsia" w:ascii="仿宋_GB2312" w:hAnsi="仿宋_GB2312" w:eastAsia="仿宋_GB2312" w:cs="仿宋_GB2312"/>
          <w:b w:val="0"/>
          <w:bCs w:val="0"/>
          <w:i w:val="0"/>
          <w:snapToGrid/>
          <w:color w:val="auto"/>
          <w:sz w:val="32"/>
          <w:szCs w:val="32"/>
          <w:shd w:val="clear" w:color="auto" w:fill="FFFFFF"/>
          <w:lang w:eastAsia="zh-CN"/>
        </w:rPr>
        <w:t>老城区</w:t>
      </w:r>
      <w:r>
        <w:rPr>
          <w:rFonts w:hint="eastAsia" w:ascii="仿宋_GB2312" w:hAnsi="仿宋_GB2312" w:eastAsia="仿宋_GB2312" w:cs="仿宋_GB2312"/>
          <w:b w:val="0"/>
          <w:bCs w:val="0"/>
          <w:i w:val="0"/>
          <w:snapToGrid/>
          <w:color w:val="auto"/>
          <w:sz w:val="32"/>
          <w:szCs w:val="32"/>
          <w:shd w:val="clear" w:color="auto" w:fill="FFFFFF"/>
        </w:rPr>
        <w:t>总工会下属</w:t>
      </w:r>
      <w:r>
        <w:rPr>
          <w:rFonts w:hint="eastAsia" w:ascii="仿宋_GB2312" w:hAnsi="仿宋_GB2312" w:eastAsia="仿宋_GB2312" w:cs="仿宋_GB2312"/>
          <w:b w:val="0"/>
          <w:bCs w:val="0"/>
          <w:i w:val="0"/>
          <w:snapToGrid/>
          <w:color w:val="auto"/>
          <w:sz w:val="32"/>
          <w:szCs w:val="32"/>
          <w:shd w:val="clear" w:color="auto" w:fill="FFFFFF"/>
          <w:lang w:val="en-US" w:eastAsia="zh-CN"/>
        </w:rPr>
        <w:t>1</w:t>
      </w:r>
      <w:r>
        <w:rPr>
          <w:rFonts w:hint="eastAsia" w:ascii="仿宋_GB2312" w:hAnsi="仿宋_GB2312" w:eastAsia="仿宋_GB2312" w:cs="仿宋_GB2312"/>
          <w:b w:val="0"/>
          <w:bCs w:val="0"/>
          <w:i w:val="0"/>
          <w:snapToGrid/>
          <w:color w:val="auto"/>
          <w:sz w:val="32"/>
          <w:szCs w:val="32"/>
          <w:shd w:val="clear" w:color="auto" w:fill="FFFFFF"/>
        </w:rPr>
        <w:t>个事业单位，</w:t>
      </w:r>
      <w:r>
        <w:rPr>
          <w:rFonts w:hint="eastAsia" w:ascii="仿宋_GB2312" w:hAnsi="仿宋_GB2312" w:eastAsia="仿宋_GB2312" w:cs="仿宋_GB2312"/>
          <w:b w:val="0"/>
          <w:bCs w:val="0"/>
          <w:i w:val="0"/>
          <w:snapToGrid/>
          <w:color w:val="auto"/>
          <w:sz w:val="32"/>
          <w:szCs w:val="32"/>
          <w:shd w:val="clear" w:color="auto" w:fill="FFFFFF"/>
          <w:lang w:eastAsia="zh-CN"/>
        </w:rPr>
        <w:t>包括洛阳市老城区困难职工帮扶中心，</w:t>
      </w:r>
      <w:r>
        <w:rPr>
          <w:rFonts w:hint="eastAsia" w:ascii="仿宋_GB2312" w:hAnsi="仿宋_GB2312" w:eastAsia="仿宋_GB2312" w:cs="仿宋_GB2312"/>
          <w:b w:val="0"/>
          <w:bCs w:val="0"/>
          <w:i w:val="0"/>
          <w:snapToGrid/>
          <w:color w:val="auto"/>
          <w:sz w:val="32"/>
          <w:szCs w:val="32"/>
          <w:shd w:val="clear" w:color="auto" w:fill="FFFFFF"/>
        </w:rPr>
        <w:t>洛阳市</w:t>
      </w:r>
      <w:r>
        <w:rPr>
          <w:rFonts w:hint="eastAsia" w:ascii="仿宋_GB2312" w:hAnsi="仿宋_GB2312" w:eastAsia="仿宋_GB2312" w:cs="仿宋_GB2312"/>
          <w:b w:val="0"/>
          <w:bCs w:val="0"/>
          <w:i w:val="0"/>
          <w:snapToGrid/>
          <w:color w:val="auto"/>
          <w:sz w:val="32"/>
          <w:szCs w:val="32"/>
          <w:shd w:val="clear" w:color="auto" w:fill="FFFFFF"/>
          <w:lang w:val="en-US" w:eastAsia="zh-CN"/>
        </w:rPr>
        <w:t>老城区</w:t>
      </w:r>
      <w:r>
        <w:rPr>
          <w:rFonts w:hint="eastAsia" w:ascii="仿宋_GB2312" w:hAnsi="仿宋_GB2312" w:eastAsia="仿宋_GB2312" w:cs="仿宋_GB2312"/>
          <w:b w:val="0"/>
          <w:bCs w:val="0"/>
          <w:i w:val="0"/>
          <w:snapToGrid/>
          <w:color w:val="auto"/>
          <w:sz w:val="32"/>
          <w:szCs w:val="32"/>
          <w:shd w:val="clear" w:color="auto" w:fill="FFFFFF"/>
        </w:rPr>
        <w:t>总工会本级作为财政预算一级单位</w:t>
      </w:r>
      <w:r>
        <w:rPr>
          <w:rFonts w:hint="eastAsia" w:ascii="仿宋_GB2312" w:hAnsi="仿宋_GB2312" w:eastAsia="仿宋_GB2312" w:cs="仿宋_GB2312"/>
          <w:b w:val="0"/>
          <w:bCs w:val="0"/>
          <w:i w:val="0"/>
          <w:snapToGrid/>
          <w:color w:val="auto"/>
          <w:sz w:val="32"/>
          <w:szCs w:val="32"/>
          <w:shd w:val="clear" w:color="auto" w:fill="FFFFFF"/>
          <w:lang w:eastAsia="zh-CN"/>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本决算为汇总决算，纳入本部门</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p>
    <w:p>
      <w:pPr>
        <w:widowControl/>
        <w:jc w:val="left"/>
        <w:rPr>
          <w:rFonts w:hint="eastAsia" w:ascii="仿宋_GB2312" w:hAnsi="仿宋_GB2312" w:eastAsia="仿宋_GB2312" w:cs="仿宋_GB2312"/>
          <w:b w:val="0"/>
          <w:bCs w:val="0"/>
          <w:i w:val="0"/>
          <w:snapToGrid/>
          <w:color w:val="auto"/>
          <w:sz w:val="32"/>
          <w:szCs w:val="32"/>
          <w:shd w:val="clear" w:color="auto" w:fill="FFFFFF"/>
          <w:lang w:eastAsia="zh-CN"/>
        </w:rPr>
      </w:pPr>
    </w:p>
    <w:p>
      <w:pPr>
        <w:widowControl/>
        <w:numPr>
          <w:ilvl w:val="0"/>
          <w:numId w:val="0"/>
        </w:numPr>
        <w:jc w:val="center"/>
        <w:outlineLvl w:val="0"/>
        <w:rPr>
          <w:rFonts w:hint="eastAsia" w:ascii="黑体" w:hAnsi="黑体" w:eastAsia="黑体" w:cs="黑体"/>
          <w:sz w:val="48"/>
          <w:szCs w:val="48"/>
        </w:rPr>
      </w:pPr>
    </w:p>
    <w:p/>
    <w:p/>
    <w:p/>
    <w:p/>
    <w:p/>
    <w:p/>
    <w:p/>
    <w:p/>
    <w:p/>
    <w:p/>
    <w:p/>
    <w:p/>
    <w:p/>
    <w:p/>
    <w:p/>
    <w:p/>
    <w:p/>
    <w:p/>
    <w:p/>
    <w:p/>
    <w:p/>
    <w:p/>
    <w:p/>
    <w:p/>
    <w:p/>
    <w:p/>
    <w:p/>
    <w:p/>
    <w:p/>
    <w:p/>
    <w:p/>
    <w:p/>
    <w:p/>
    <w:p/>
    <w:p/>
    <w:p/>
    <w:p/>
    <w:p/>
    <w:p/>
    <w:p/>
    <w:p/>
    <w:p/>
    <w:p/>
    <w:p/>
    <w:p/>
    <w:p/>
    <w:p/>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numPr>
          <w:ilvl w:val="0"/>
          <w:numId w:val="2"/>
        </w:numPr>
        <w:ind w:left="0" w:leftChars="0" w:firstLine="0" w:firstLineChars="0"/>
        <w:jc w:val="center"/>
        <w:outlineLvl w:val="0"/>
        <w:rPr>
          <w:rFonts w:hint="eastAsia" w:ascii="黑体" w:hAnsi="黑体" w:eastAsia="黑体" w:cs="黑体"/>
          <w:sz w:val="48"/>
          <w:szCs w:val="48"/>
        </w:rPr>
      </w:pPr>
      <w:r>
        <w:rPr>
          <w:rFonts w:hint="eastAsia" w:ascii="黑体" w:hAnsi="黑体" w:eastAsia="黑体" w:cs="黑体"/>
          <w:sz w:val="48"/>
          <w:szCs w:val="48"/>
        </w:rPr>
        <w:t xml:space="preserve"> </w:t>
      </w:r>
      <w:r>
        <w:rPr>
          <w:rFonts w:hint="eastAsia" w:ascii="黑体" w:hAnsi="黑体" w:eastAsia="黑体" w:cs="黑体"/>
          <w:sz w:val="48"/>
          <w:szCs w:val="48"/>
          <w:lang w:val="en-US" w:eastAsia="zh-CN"/>
        </w:rPr>
        <w:t>2020</w:t>
      </w:r>
      <w:r>
        <w:rPr>
          <w:rFonts w:hint="eastAsia" w:ascii="黑体" w:hAnsi="黑体" w:eastAsia="黑体" w:cs="黑体"/>
          <w:sz w:val="48"/>
          <w:szCs w:val="48"/>
        </w:rPr>
        <w:t>年度部门决算表</w:t>
      </w:r>
    </w:p>
    <w:p>
      <w:pPr>
        <w:widowControl w:val="0"/>
        <w:numPr>
          <w:ilvl w:val="0"/>
          <w:numId w:val="0"/>
        </w:numPr>
        <w:jc w:val="center"/>
        <w:outlineLvl w:val="0"/>
        <w:rPr>
          <w:rFonts w:hint="eastAsia" w:ascii="黑体" w:hAnsi="黑体" w:eastAsia="黑体" w:cs="黑体"/>
          <w:sz w:val="48"/>
          <w:szCs w:val="48"/>
        </w:rPr>
      </w:pPr>
    </w:p>
    <w:p>
      <w:pPr>
        <w:widowControl w:val="0"/>
        <w:numPr>
          <w:ilvl w:val="0"/>
          <w:numId w:val="0"/>
        </w:numPr>
        <w:jc w:val="center"/>
        <w:outlineLvl w:val="0"/>
        <w:rPr>
          <w:rFonts w:hint="eastAsia" w:ascii="黑体" w:hAnsi="黑体" w:eastAsia="黑体" w:cs="黑体"/>
          <w:sz w:val="48"/>
          <w:szCs w:val="48"/>
        </w:rPr>
      </w:pPr>
    </w:p>
    <w:p>
      <w:pPr>
        <w:widowControl w:val="0"/>
        <w:numPr>
          <w:ilvl w:val="0"/>
          <w:numId w:val="0"/>
        </w:numPr>
        <w:jc w:val="center"/>
        <w:outlineLvl w:val="0"/>
        <w:rPr>
          <w:rFonts w:hint="eastAsia" w:ascii="黑体" w:hAnsi="黑体" w:eastAsia="黑体" w:cs="黑体"/>
          <w:sz w:val="48"/>
          <w:szCs w:val="48"/>
        </w:rPr>
        <w:sectPr>
          <w:pgSz w:w="11906" w:h="16838"/>
          <w:pgMar w:top="1440" w:right="1800" w:bottom="1440" w:left="1800" w:header="851" w:footer="992" w:gutter="0"/>
          <w:cols w:space="425" w:num="1"/>
          <w:docGrid w:type="lines" w:linePitch="312" w:charSpace="0"/>
        </w:sectPr>
      </w:pPr>
    </w:p>
    <w:p>
      <w:pPr>
        <w:rPr>
          <w:rFonts w:hint="eastAsia" w:eastAsia="宋体"/>
          <w:lang w:eastAsia="zh-CN"/>
        </w:rPr>
      </w:pPr>
      <w:r>
        <w:rPr>
          <w:rFonts w:hint="eastAsia" w:eastAsia="宋体"/>
          <w:lang w:eastAsia="zh-CN"/>
        </w:rPr>
        <w:drawing>
          <wp:inline distT="0" distB="0" distL="114300" distR="114300">
            <wp:extent cx="8904605" cy="5269230"/>
            <wp:effectExtent l="0" t="0" r="10795" b="7620"/>
            <wp:docPr id="7" name="图片 7" descr="d1ebef785a008604cb9bd0ada6f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ebef785a008604cb9bd0ada6f8497"/>
                    <pic:cNvPicPr>
                      <a:picLocks noChangeAspect="1"/>
                    </pic:cNvPicPr>
                  </pic:nvPicPr>
                  <pic:blipFill>
                    <a:blip r:embed="rId7"/>
                    <a:stretch>
                      <a:fillRect/>
                    </a:stretch>
                  </pic:blipFill>
                  <pic:spPr>
                    <a:xfrm>
                      <a:off x="0" y="0"/>
                      <a:ext cx="8904605" cy="526923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8852535" cy="5182235"/>
            <wp:effectExtent l="0" t="0" r="5715" b="18415"/>
            <wp:docPr id="8" name="图片 8" descr="96d15549f35846ee672a02b690db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6d15549f35846ee672a02b690dbbd5"/>
                    <pic:cNvPicPr>
                      <a:picLocks noChangeAspect="1"/>
                    </pic:cNvPicPr>
                  </pic:nvPicPr>
                  <pic:blipFill>
                    <a:blip r:embed="rId8"/>
                    <a:stretch>
                      <a:fillRect/>
                    </a:stretch>
                  </pic:blipFill>
                  <pic:spPr>
                    <a:xfrm>
                      <a:off x="0" y="0"/>
                      <a:ext cx="8852535" cy="5182235"/>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8862695" cy="5205730"/>
            <wp:effectExtent l="0" t="0" r="14605" b="13970"/>
            <wp:docPr id="9" name="图片 9" descr="8107d7efa025ee95d2c2fd12a436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07d7efa025ee95d2c2fd12a436fcb"/>
                    <pic:cNvPicPr>
                      <a:picLocks noChangeAspect="1"/>
                    </pic:cNvPicPr>
                  </pic:nvPicPr>
                  <pic:blipFill>
                    <a:blip r:embed="rId9"/>
                    <a:stretch>
                      <a:fillRect/>
                    </a:stretch>
                  </pic:blipFill>
                  <pic:spPr>
                    <a:xfrm>
                      <a:off x="0" y="0"/>
                      <a:ext cx="8862695" cy="5205730"/>
                    </a:xfrm>
                    <a:prstGeom prst="rect">
                      <a:avLst/>
                    </a:prstGeom>
                  </pic:spPr>
                </pic:pic>
              </a:graphicData>
            </a:graphic>
          </wp:inline>
        </w:drawing>
      </w:r>
      <w:r>
        <w:rPr>
          <w:rFonts w:hint="eastAsia" w:eastAsia="宋体"/>
          <w:lang w:eastAsia="zh-CN"/>
        </w:rPr>
        <w:drawing>
          <wp:inline distT="0" distB="0" distL="114300" distR="114300">
            <wp:extent cx="8874760" cy="5272405"/>
            <wp:effectExtent l="0" t="0" r="2540" b="4445"/>
            <wp:docPr id="10" name="图片 10" descr="c038736f838678d809d58044bfd4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038736f838678d809d58044bfd406b"/>
                    <pic:cNvPicPr>
                      <a:picLocks noChangeAspect="1"/>
                    </pic:cNvPicPr>
                  </pic:nvPicPr>
                  <pic:blipFill>
                    <a:blip r:embed="rId10"/>
                    <a:stretch>
                      <a:fillRect/>
                    </a:stretch>
                  </pic:blipFill>
                  <pic:spPr>
                    <a:xfrm>
                      <a:off x="0" y="0"/>
                      <a:ext cx="8874760" cy="5272405"/>
                    </a:xfrm>
                    <a:prstGeom prst="rect">
                      <a:avLst/>
                    </a:prstGeom>
                  </pic:spPr>
                </pic:pic>
              </a:graphicData>
            </a:graphic>
          </wp:inline>
        </w:drawing>
      </w:r>
      <w:r>
        <w:rPr>
          <w:rFonts w:hint="eastAsia" w:eastAsia="宋体"/>
          <w:lang w:eastAsia="zh-CN"/>
        </w:rPr>
        <w:drawing>
          <wp:inline distT="0" distB="0" distL="114300" distR="114300">
            <wp:extent cx="8896350" cy="5267325"/>
            <wp:effectExtent l="0" t="0" r="0" b="9525"/>
            <wp:docPr id="11" name="图片 11" descr="bb8e0f397d764c2ce51a94f1a840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b8e0f397d764c2ce51a94f1a840b90"/>
                    <pic:cNvPicPr>
                      <a:picLocks noChangeAspect="1"/>
                    </pic:cNvPicPr>
                  </pic:nvPicPr>
                  <pic:blipFill>
                    <a:blip r:embed="rId11"/>
                    <a:stretch>
                      <a:fillRect/>
                    </a:stretch>
                  </pic:blipFill>
                  <pic:spPr>
                    <a:xfrm>
                      <a:off x="0" y="0"/>
                      <a:ext cx="8896350" cy="5267325"/>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8859520" cy="5199380"/>
            <wp:effectExtent l="0" t="0" r="17780" b="1270"/>
            <wp:docPr id="12" name="图片 12" descr="7a2a9227bf3c6a85e87f3ef6b67d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a2a9227bf3c6a85e87f3ef6b67db5b"/>
                    <pic:cNvPicPr>
                      <a:picLocks noChangeAspect="1"/>
                    </pic:cNvPicPr>
                  </pic:nvPicPr>
                  <pic:blipFill>
                    <a:blip r:embed="rId12"/>
                    <a:stretch>
                      <a:fillRect/>
                    </a:stretch>
                  </pic:blipFill>
                  <pic:spPr>
                    <a:xfrm>
                      <a:off x="0" y="0"/>
                      <a:ext cx="8859520" cy="519938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8858250" cy="2445385"/>
            <wp:effectExtent l="0" t="0" r="0" b="12065"/>
            <wp:docPr id="13" name="图片 13" descr="a823a3fcf4f600176e618681e5af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823a3fcf4f600176e618681e5af23d"/>
                    <pic:cNvPicPr>
                      <a:picLocks noChangeAspect="1"/>
                    </pic:cNvPicPr>
                  </pic:nvPicPr>
                  <pic:blipFill>
                    <a:blip r:embed="rId13"/>
                    <a:stretch>
                      <a:fillRect/>
                    </a:stretch>
                  </pic:blipFill>
                  <pic:spPr>
                    <a:xfrm>
                      <a:off x="0" y="0"/>
                      <a:ext cx="8858250" cy="2445385"/>
                    </a:xfrm>
                    <a:prstGeom prst="rect">
                      <a:avLst/>
                    </a:prstGeom>
                  </pic:spPr>
                </pic:pic>
              </a:graphicData>
            </a:graphic>
          </wp:inline>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8856980" cy="2828290"/>
            <wp:effectExtent l="0" t="0" r="1270" b="10160"/>
            <wp:docPr id="14" name="图片 14" descr="f1de5313688d6b8c6127ea419d36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1de5313688d6b8c6127ea419d36f86"/>
                    <pic:cNvPicPr>
                      <a:picLocks noChangeAspect="1"/>
                    </pic:cNvPicPr>
                  </pic:nvPicPr>
                  <pic:blipFill>
                    <a:blip r:embed="rId14"/>
                    <a:stretch>
                      <a:fillRect/>
                    </a:stretch>
                  </pic:blipFill>
                  <pic:spPr>
                    <a:xfrm>
                      <a:off x="0" y="0"/>
                      <a:ext cx="8856980" cy="2828290"/>
                    </a:xfrm>
                    <a:prstGeom prst="rect">
                      <a:avLst/>
                    </a:prstGeom>
                  </pic:spPr>
                </pic:pic>
              </a:graphicData>
            </a:graphic>
          </wp:inline>
        </w:drawing>
      </w:r>
    </w:p>
    <w:p>
      <w:pPr>
        <w:rPr>
          <w:rFonts w:hint="eastAsia" w:eastAsia="宋体"/>
          <w:lang w:eastAsia="zh-CN"/>
        </w:rPr>
      </w:pPr>
    </w:p>
    <w:p>
      <w:pPr>
        <w:rPr>
          <w:rFonts w:hint="eastAsia" w:eastAsia="宋体"/>
          <w:lang w:eastAsia="zh-CN"/>
        </w:rPr>
      </w:pPr>
      <w:r>
        <w:rPr>
          <w:rFonts w:hint="eastAsia" w:ascii="宋体" w:hAnsi="宋体"/>
          <w:color w:val="000000"/>
          <w:sz w:val="20"/>
          <w:lang w:val="zh-CN"/>
        </w:rPr>
        <w:t>说明：我部门没有政府性基金收入，也没有使用政府性基金安排的支出，故本表无数据。</w:t>
      </w:r>
    </w:p>
    <w:p>
      <w:pPr>
        <w:rPr>
          <w:rFonts w:hint="eastAsia" w:eastAsia="宋体"/>
          <w:lang w:eastAsia="zh-CN"/>
        </w:rPr>
      </w:pPr>
    </w:p>
    <w:p>
      <w:pPr>
        <w:rPr>
          <w:rFonts w:hint="eastAsia" w:eastAsia="宋体"/>
          <w:lang w:eastAsia="zh-CN"/>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val="en-US" w:eastAsia="zh-CN"/>
        </w:rPr>
        <w:t>2020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widowControl/>
        <w:jc w:val="left"/>
        <w:rPr>
          <w:rFonts w:hint="eastAsia" w:ascii="黑体" w:hAnsi="黑体" w:eastAsia="黑体" w:cs="黑体"/>
          <w:sz w:val="48"/>
          <w:szCs w:val="48"/>
        </w:rPr>
      </w:pPr>
    </w:p>
    <w:p>
      <w:pPr>
        <w:rPr>
          <w:rFonts w:hint="eastAsia" w:ascii="仿宋_GB2312" w:eastAsia="仿宋_GB2312" w:cs="仿宋"/>
          <w:sz w:val="32"/>
          <w:szCs w:val="32"/>
          <w:lang w:val="zh-CN"/>
        </w:rPr>
      </w:pPr>
      <w:r>
        <w:rPr>
          <w:rFonts w:hint="eastAsia" w:ascii="仿宋_GB2312" w:eastAsia="仿宋_GB2312" w:cs="仿宋"/>
          <w:sz w:val="32"/>
          <w:szCs w:val="32"/>
          <w:lang w:val="zh-CN"/>
        </w:rPr>
        <w:t>一、收入支出决算总体情况说明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年度收、支总计均为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万元。与上年度相比，收、支总计各增加</w:t>
      </w:r>
      <w:r>
        <w:rPr>
          <w:rFonts w:hint="eastAsia" w:ascii="仿宋_GB2312" w:eastAsia="仿宋_GB2312" w:cs="仿宋"/>
          <w:sz w:val="32"/>
          <w:szCs w:val="32"/>
          <w:lang w:val="en-US" w:eastAsia="zh-CN"/>
        </w:rPr>
        <w:t>30</w:t>
      </w:r>
      <w:r>
        <w:rPr>
          <w:rFonts w:hint="eastAsia" w:ascii="仿宋_GB2312" w:eastAsia="仿宋_GB2312" w:cs="仿宋"/>
          <w:sz w:val="32"/>
          <w:szCs w:val="32"/>
          <w:lang w:val="zh-CN"/>
        </w:rPr>
        <w:t>万元，增</w:t>
      </w:r>
      <w:r>
        <w:rPr>
          <w:rFonts w:hint="eastAsia" w:ascii="仿宋_GB2312" w:eastAsia="仿宋_GB2312" w:cs="仿宋"/>
          <w:color w:val="auto"/>
          <w:sz w:val="32"/>
          <w:szCs w:val="32"/>
          <w:lang w:val="zh-CN"/>
        </w:rPr>
        <w:t>长</w:t>
      </w:r>
      <w:r>
        <w:rPr>
          <w:rFonts w:hint="eastAsia" w:ascii="仿宋_GB2312" w:eastAsia="仿宋_GB2312" w:cs="仿宋"/>
          <w:color w:val="auto"/>
          <w:sz w:val="32"/>
          <w:szCs w:val="32"/>
          <w:lang w:val="en-US" w:eastAsia="zh-CN"/>
        </w:rPr>
        <w:t>29.83</w:t>
      </w:r>
      <w:r>
        <w:rPr>
          <w:rFonts w:hint="eastAsia" w:ascii="仿宋_GB2312" w:eastAsia="仿宋_GB2312" w:cs="仿宋"/>
          <w:sz w:val="32"/>
          <w:szCs w:val="32"/>
          <w:lang w:val="zh-CN"/>
        </w:rPr>
        <w:t>%。主要原因是人员经费增加。</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二、收入决算情况说明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年度收入合计</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万元，其中：财政拨款收入</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万元，占100%；上级补助收入0万元，占0%；事业收入0万元，占0%；经营收入0万元，占0%；附属单位上缴收入0万元，占0%；其他收入0万元，占0%。</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三、支出决算情况说明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年度支出合计</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万元，其中：基本支出</w:t>
      </w:r>
      <w:r>
        <w:rPr>
          <w:rFonts w:hint="eastAsia" w:ascii="仿宋_GB2312" w:eastAsia="仿宋_GB2312" w:cs="仿宋"/>
          <w:color w:val="auto"/>
          <w:sz w:val="32"/>
          <w:szCs w:val="32"/>
          <w:lang w:val="en-US" w:eastAsia="zh-CN"/>
        </w:rPr>
        <w:t>130.58</w:t>
      </w:r>
      <w:r>
        <w:rPr>
          <w:rFonts w:hint="eastAsia" w:ascii="仿宋_GB2312" w:eastAsia="仿宋_GB2312" w:cs="仿宋"/>
          <w:sz w:val="32"/>
          <w:szCs w:val="32"/>
          <w:lang w:val="zh-CN"/>
        </w:rPr>
        <w:t>万元，占100%；项目支出0万元，占0%；上缴上级支出0万元，占0%；经营支出0万元，占0%；对附属单位补助支出0万元，占0%。</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四、财政拨款收入支出决算总体情况说明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年度财政拨款收、支总计均为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万元。与上年度相比，财政拨款收、支总计各增加</w:t>
      </w:r>
      <w:r>
        <w:rPr>
          <w:rFonts w:hint="eastAsia" w:ascii="仿宋_GB2312" w:eastAsia="仿宋_GB2312" w:cs="仿宋"/>
          <w:sz w:val="32"/>
          <w:szCs w:val="32"/>
          <w:lang w:val="en-US" w:eastAsia="zh-CN"/>
        </w:rPr>
        <w:t>30</w:t>
      </w:r>
      <w:r>
        <w:rPr>
          <w:rFonts w:hint="eastAsia" w:ascii="仿宋_GB2312" w:eastAsia="仿宋_GB2312" w:cs="仿宋"/>
          <w:sz w:val="32"/>
          <w:szCs w:val="32"/>
          <w:lang w:val="zh-CN"/>
        </w:rPr>
        <w:t>万元，增长</w:t>
      </w:r>
      <w:r>
        <w:rPr>
          <w:rFonts w:hint="eastAsia" w:ascii="仿宋_GB2312" w:eastAsia="仿宋_GB2312" w:cs="仿宋"/>
          <w:color w:val="auto"/>
          <w:sz w:val="32"/>
          <w:szCs w:val="32"/>
          <w:lang w:val="en-US" w:eastAsia="zh-CN"/>
        </w:rPr>
        <w:t>29.83</w:t>
      </w:r>
      <w:r>
        <w:rPr>
          <w:rFonts w:hint="eastAsia" w:ascii="仿宋_GB2312" w:eastAsia="仿宋_GB2312" w:cs="仿宋"/>
          <w:sz w:val="32"/>
          <w:szCs w:val="32"/>
          <w:lang w:val="zh-CN"/>
        </w:rPr>
        <w:t>%。主要原因是人员经费增加。</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五、一般公共预算财政拨款支出决算情况说明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（一）总体情况。</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年度一般公共预算财政拨款支出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万元，占本年支出合计的100%。与上年度相比，一般公共预算财政拨款支出增加</w:t>
      </w:r>
      <w:r>
        <w:rPr>
          <w:rFonts w:hint="eastAsia" w:ascii="仿宋_GB2312" w:eastAsia="仿宋_GB2312" w:cs="仿宋"/>
          <w:sz w:val="32"/>
          <w:szCs w:val="32"/>
          <w:lang w:val="en-US" w:eastAsia="zh-CN"/>
        </w:rPr>
        <w:t>30</w:t>
      </w:r>
      <w:r>
        <w:rPr>
          <w:rFonts w:hint="eastAsia" w:ascii="仿宋_GB2312" w:eastAsia="仿宋_GB2312" w:cs="仿宋"/>
          <w:sz w:val="32"/>
          <w:szCs w:val="32"/>
          <w:lang w:val="zh-CN"/>
        </w:rPr>
        <w:t>万元，增</w:t>
      </w:r>
      <w:r>
        <w:rPr>
          <w:rFonts w:hint="eastAsia" w:ascii="仿宋_GB2312" w:eastAsia="仿宋_GB2312" w:cs="仿宋"/>
          <w:color w:val="auto"/>
          <w:sz w:val="32"/>
          <w:szCs w:val="32"/>
          <w:lang w:val="zh-CN"/>
        </w:rPr>
        <w:t>长</w:t>
      </w:r>
      <w:r>
        <w:rPr>
          <w:rFonts w:hint="eastAsia" w:ascii="仿宋_GB2312" w:eastAsia="仿宋_GB2312" w:cs="仿宋"/>
          <w:color w:val="auto"/>
          <w:sz w:val="32"/>
          <w:szCs w:val="32"/>
          <w:lang w:val="en-US" w:eastAsia="zh-CN"/>
        </w:rPr>
        <w:t>29.83</w:t>
      </w:r>
      <w:r>
        <w:rPr>
          <w:rFonts w:hint="eastAsia" w:ascii="仿宋_GB2312" w:eastAsia="仿宋_GB2312" w:cs="仿宋"/>
          <w:sz w:val="32"/>
          <w:szCs w:val="32"/>
          <w:lang w:val="zh-CN"/>
        </w:rPr>
        <w:t>%。主要原因是人员经费增加。</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（二）结构情况。</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年度一般公共预算财政拨款支出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万元，主要用于以下方面：一般公共服务（类）支出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万元，占</w:t>
      </w:r>
      <w:r>
        <w:rPr>
          <w:rFonts w:hint="eastAsia" w:ascii="仿宋_GB2312" w:eastAsia="仿宋_GB2312" w:cs="仿宋"/>
          <w:sz w:val="32"/>
          <w:szCs w:val="32"/>
          <w:lang w:val="en-US" w:eastAsia="zh-CN"/>
        </w:rPr>
        <w:t>100</w:t>
      </w:r>
      <w:r>
        <w:rPr>
          <w:rFonts w:hint="eastAsia" w:ascii="仿宋_GB2312" w:eastAsia="仿宋_GB2312" w:cs="仿宋"/>
          <w:sz w:val="32"/>
          <w:szCs w:val="32"/>
          <w:lang w:val="zh-CN"/>
        </w:rPr>
        <w:t>%。</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（三）具体情况。</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年度一般公共预算财政拨款支出年初预算为</w:t>
      </w:r>
      <w:r>
        <w:rPr>
          <w:rFonts w:hint="eastAsia" w:ascii="仿宋_GB2312" w:eastAsia="仿宋_GB2312" w:cs="仿宋"/>
          <w:sz w:val="32"/>
          <w:szCs w:val="32"/>
          <w:lang w:val="en-US" w:eastAsia="zh-CN"/>
        </w:rPr>
        <w:t>85.38</w:t>
      </w:r>
      <w:r>
        <w:rPr>
          <w:rFonts w:hint="eastAsia" w:ascii="仿宋_GB2312" w:eastAsia="仿宋_GB2312" w:cs="仿宋"/>
          <w:sz w:val="32"/>
          <w:szCs w:val="32"/>
          <w:lang w:val="zh-CN"/>
        </w:rPr>
        <w:t>万元，支出决算为</w:t>
      </w:r>
      <w:r>
        <w:rPr>
          <w:rFonts w:hint="eastAsia" w:ascii="仿宋_GB2312" w:eastAsia="仿宋_GB2312" w:cs="仿宋"/>
          <w:sz w:val="32"/>
          <w:szCs w:val="32"/>
          <w:lang w:val="en-US" w:eastAsia="zh-CN"/>
        </w:rPr>
        <w:t>130.58</w:t>
      </w:r>
      <w:r>
        <w:rPr>
          <w:rFonts w:hint="eastAsia" w:ascii="仿宋_GB2312" w:eastAsia="仿宋_GB2312" w:cs="仿宋"/>
          <w:sz w:val="32"/>
          <w:szCs w:val="32"/>
          <w:lang w:val="zh-CN"/>
        </w:rPr>
        <w:t>万元，完成年初预</w:t>
      </w:r>
      <w:r>
        <w:rPr>
          <w:rFonts w:hint="eastAsia" w:ascii="仿宋_GB2312" w:eastAsia="仿宋_GB2312" w:cs="仿宋"/>
          <w:color w:val="auto"/>
          <w:sz w:val="32"/>
          <w:szCs w:val="32"/>
          <w:lang w:val="zh-CN"/>
        </w:rPr>
        <w:t>算的</w:t>
      </w:r>
      <w:r>
        <w:rPr>
          <w:rFonts w:hint="eastAsia" w:ascii="仿宋_GB2312" w:eastAsia="仿宋_GB2312" w:cs="仿宋"/>
          <w:color w:val="auto"/>
          <w:sz w:val="32"/>
          <w:szCs w:val="32"/>
          <w:lang w:val="en-US" w:eastAsia="zh-CN"/>
        </w:rPr>
        <w:t>152.94</w:t>
      </w:r>
      <w:r>
        <w:rPr>
          <w:rFonts w:hint="eastAsia" w:ascii="仿宋_GB2312" w:eastAsia="仿宋_GB2312" w:cs="仿宋"/>
          <w:color w:val="auto"/>
          <w:sz w:val="32"/>
          <w:szCs w:val="32"/>
          <w:lang w:val="zh-CN"/>
        </w:rPr>
        <w:t>%。</w:t>
      </w:r>
      <w:r>
        <w:rPr>
          <w:rFonts w:hint="eastAsia" w:ascii="仿宋_GB2312" w:eastAsia="仿宋_GB2312" w:cs="仿宋"/>
          <w:sz w:val="32"/>
          <w:szCs w:val="32"/>
          <w:lang w:val="zh-CN"/>
        </w:rPr>
        <w:t>其中：</w:t>
      </w:r>
    </w:p>
    <w:p>
      <w:pPr>
        <w:rPr>
          <w:rFonts w:hint="eastAsia" w:ascii="仿宋_GB2312" w:eastAsia="仿宋_GB2312" w:cs="仿宋"/>
          <w:color w:val="0000FF"/>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color w:val="auto"/>
          <w:sz w:val="32"/>
          <w:szCs w:val="32"/>
          <w:lang w:val="zh-CN"/>
        </w:rPr>
        <w:t>1．</w:t>
      </w:r>
      <w:r>
        <w:rPr>
          <w:rFonts w:hint="eastAsia" w:ascii="仿宋_GB2312" w:eastAsia="仿宋_GB2312" w:cs="仿宋"/>
          <w:color w:val="auto"/>
          <w:sz w:val="32"/>
          <w:szCs w:val="32"/>
          <w:lang w:val="zh-CN" w:eastAsia="zh-CN"/>
        </w:rPr>
        <w:t>一般公共服务支出</w:t>
      </w:r>
      <w:r>
        <w:rPr>
          <w:rFonts w:hint="eastAsia" w:ascii="仿宋_GB2312" w:eastAsia="仿宋_GB2312" w:cs="仿宋"/>
          <w:color w:val="auto"/>
          <w:sz w:val="32"/>
          <w:szCs w:val="32"/>
          <w:lang w:val="zh-CN"/>
        </w:rPr>
        <w:t>（类）</w:t>
      </w:r>
      <w:r>
        <w:rPr>
          <w:rFonts w:hint="eastAsia" w:ascii="仿宋_GB2312" w:eastAsia="仿宋_GB2312" w:cs="仿宋"/>
          <w:color w:val="auto"/>
          <w:sz w:val="32"/>
          <w:szCs w:val="32"/>
          <w:lang w:val="en-US" w:eastAsia="zh-CN"/>
        </w:rPr>
        <w:t>群众团体事务</w:t>
      </w:r>
      <w:r>
        <w:rPr>
          <w:rFonts w:hint="eastAsia" w:ascii="仿宋_GB2312" w:eastAsia="仿宋_GB2312" w:cs="仿宋"/>
          <w:color w:val="auto"/>
          <w:sz w:val="32"/>
          <w:szCs w:val="32"/>
          <w:lang w:val="zh-CN"/>
        </w:rPr>
        <w:t>（款）</w:t>
      </w:r>
      <w:r>
        <w:rPr>
          <w:rFonts w:hint="eastAsia" w:ascii="仿宋_GB2312" w:eastAsia="仿宋_GB2312" w:cs="仿宋"/>
          <w:color w:val="auto"/>
          <w:sz w:val="32"/>
          <w:szCs w:val="32"/>
          <w:lang w:val="en-US" w:eastAsia="zh-CN"/>
        </w:rPr>
        <w:t>行政运行</w:t>
      </w:r>
      <w:r>
        <w:rPr>
          <w:rFonts w:hint="eastAsia" w:ascii="仿宋_GB2312" w:eastAsia="仿宋_GB2312" w:cs="仿宋"/>
          <w:color w:val="auto"/>
          <w:sz w:val="32"/>
          <w:szCs w:val="32"/>
          <w:lang w:val="zh-CN"/>
        </w:rPr>
        <w:t>（项）。年初预算为</w:t>
      </w:r>
      <w:r>
        <w:rPr>
          <w:rFonts w:hint="eastAsia" w:ascii="仿宋_GB2312" w:eastAsia="仿宋_GB2312" w:cs="仿宋"/>
          <w:color w:val="auto"/>
          <w:sz w:val="32"/>
          <w:szCs w:val="32"/>
          <w:lang w:val="en-US" w:eastAsia="zh-CN"/>
        </w:rPr>
        <w:t>60.06</w:t>
      </w:r>
      <w:r>
        <w:rPr>
          <w:rFonts w:hint="eastAsia" w:ascii="仿宋_GB2312" w:eastAsia="仿宋_GB2312" w:cs="仿宋"/>
          <w:color w:val="auto"/>
          <w:sz w:val="32"/>
          <w:szCs w:val="32"/>
          <w:lang w:val="zh-CN"/>
        </w:rPr>
        <w:t>万元，支出决算为</w:t>
      </w:r>
      <w:r>
        <w:rPr>
          <w:rFonts w:hint="eastAsia" w:ascii="仿宋_GB2312" w:eastAsia="仿宋_GB2312" w:cs="仿宋"/>
          <w:color w:val="auto"/>
          <w:sz w:val="32"/>
          <w:szCs w:val="32"/>
          <w:lang w:val="en-US" w:eastAsia="zh-CN"/>
        </w:rPr>
        <w:t>98.03</w:t>
      </w:r>
      <w:r>
        <w:rPr>
          <w:rFonts w:hint="eastAsia" w:ascii="仿宋_GB2312" w:eastAsia="仿宋_GB2312" w:cs="仿宋"/>
          <w:color w:val="auto"/>
          <w:sz w:val="32"/>
          <w:szCs w:val="32"/>
          <w:lang w:val="zh-CN"/>
        </w:rPr>
        <w:t>万元，完成年初预算的</w:t>
      </w:r>
      <w:r>
        <w:rPr>
          <w:rFonts w:hint="eastAsia" w:ascii="仿宋_GB2312" w:eastAsia="仿宋_GB2312" w:cs="仿宋"/>
          <w:color w:val="auto"/>
          <w:sz w:val="32"/>
          <w:szCs w:val="32"/>
          <w:lang w:val="en-US" w:eastAsia="zh-CN"/>
        </w:rPr>
        <w:t>163.22%</w:t>
      </w:r>
      <w:r>
        <w:rPr>
          <w:rFonts w:hint="eastAsia" w:ascii="仿宋_GB2312" w:eastAsia="仿宋_GB2312" w:cs="仿宋"/>
          <w:color w:val="auto"/>
          <w:sz w:val="32"/>
          <w:szCs w:val="32"/>
          <w:lang w:val="zh-CN"/>
        </w:rPr>
        <w:t>。决算数与年初预算数存在差异的主要原因是在职人员工资增长。</w:t>
      </w:r>
    </w:p>
    <w:p>
      <w:pPr>
        <w:ind w:firstLine="640" w:firstLineChars="200"/>
        <w:rPr>
          <w:rFonts w:hint="eastAsia" w:ascii="仿宋_GB2312" w:eastAsia="仿宋_GB2312" w:cs="仿宋"/>
          <w:color w:val="auto"/>
          <w:sz w:val="32"/>
          <w:szCs w:val="32"/>
          <w:lang w:val="zh-CN"/>
        </w:rPr>
      </w:pPr>
      <w:r>
        <w:rPr>
          <w:rFonts w:hint="eastAsia" w:ascii="仿宋_GB2312" w:eastAsia="仿宋_GB2312" w:cs="仿宋"/>
          <w:color w:val="auto"/>
          <w:sz w:val="32"/>
          <w:szCs w:val="32"/>
          <w:lang w:val="en-US" w:eastAsia="zh-CN"/>
        </w:rPr>
        <w:t>2</w:t>
      </w:r>
      <w:r>
        <w:rPr>
          <w:rFonts w:hint="eastAsia" w:ascii="仿宋_GB2312" w:eastAsia="仿宋_GB2312" w:cs="仿宋"/>
          <w:color w:val="auto"/>
          <w:sz w:val="32"/>
          <w:szCs w:val="32"/>
          <w:lang w:val="zh-CN"/>
        </w:rPr>
        <w:t>．</w:t>
      </w:r>
      <w:r>
        <w:rPr>
          <w:rFonts w:hint="eastAsia" w:ascii="仿宋_GB2312" w:eastAsia="仿宋_GB2312" w:cs="仿宋"/>
          <w:color w:val="auto"/>
          <w:sz w:val="32"/>
          <w:szCs w:val="32"/>
          <w:lang w:val="en-US" w:eastAsia="zh-CN"/>
        </w:rPr>
        <w:t>社会保障就业支出</w:t>
      </w:r>
      <w:r>
        <w:rPr>
          <w:rFonts w:hint="eastAsia" w:ascii="仿宋_GB2312" w:eastAsia="仿宋_GB2312" w:cs="仿宋"/>
          <w:color w:val="auto"/>
          <w:sz w:val="32"/>
          <w:szCs w:val="32"/>
          <w:lang w:val="zh-CN"/>
        </w:rPr>
        <w:t>（类）</w:t>
      </w:r>
      <w:r>
        <w:rPr>
          <w:rFonts w:hint="eastAsia" w:ascii="仿宋_GB2312" w:eastAsia="仿宋_GB2312" w:cs="仿宋"/>
          <w:color w:val="auto"/>
          <w:sz w:val="32"/>
          <w:szCs w:val="32"/>
          <w:lang w:val="en-US" w:eastAsia="zh-CN"/>
        </w:rPr>
        <w:t>行政事业单位离退休</w:t>
      </w:r>
      <w:r>
        <w:rPr>
          <w:rFonts w:hint="eastAsia" w:ascii="仿宋_GB2312" w:eastAsia="仿宋_GB2312" w:cs="仿宋"/>
          <w:color w:val="auto"/>
          <w:sz w:val="32"/>
          <w:szCs w:val="32"/>
          <w:lang w:val="zh-CN"/>
        </w:rPr>
        <w:t>（款）</w:t>
      </w:r>
      <w:r>
        <w:rPr>
          <w:rFonts w:hint="eastAsia" w:ascii="仿宋_GB2312" w:eastAsia="仿宋_GB2312" w:cs="仿宋"/>
          <w:color w:val="auto"/>
          <w:sz w:val="32"/>
          <w:szCs w:val="32"/>
          <w:lang w:val="en-US" w:eastAsia="zh-CN"/>
        </w:rPr>
        <w:t>未归口管理的行政单位离退休</w:t>
      </w:r>
      <w:r>
        <w:rPr>
          <w:rFonts w:hint="eastAsia" w:ascii="仿宋_GB2312" w:eastAsia="仿宋_GB2312" w:cs="仿宋"/>
          <w:color w:val="auto"/>
          <w:sz w:val="32"/>
          <w:szCs w:val="32"/>
          <w:lang w:val="zh-CN"/>
        </w:rPr>
        <w:t>（项）。年初预算为</w:t>
      </w:r>
      <w:r>
        <w:rPr>
          <w:rFonts w:hint="eastAsia" w:ascii="仿宋_GB2312" w:eastAsia="仿宋_GB2312" w:cs="仿宋"/>
          <w:color w:val="auto"/>
          <w:sz w:val="32"/>
          <w:szCs w:val="32"/>
          <w:lang w:val="en-US" w:eastAsia="zh-CN"/>
        </w:rPr>
        <w:t>15.14</w:t>
      </w:r>
      <w:r>
        <w:rPr>
          <w:rFonts w:hint="eastAsia" w:ascii="仿宋_GB2312" w:eastAsia="仿宋_GB2312" w:cs="仿宋"/>
          <w:color w:val="auto"/>
          <w:sz w:val="32"/>
          <w:szCs w:val="32"/>
          <w:lang w:val="zh-CN"/>
        </w:rPr>
        <w:t>万元，支出决算为</w:t>
      </w:r>
      <w:r>
        <w:rPr>
          <w:rFonts w:hint="eastAsia" w:ascii="仿宋_GB2312" w:eastAsia="仿宋_GB2312" w:cs="仿宋"/>
          <w:color w:val="auto"/>
          <w:sz w:val="32"/>
          <w:szCs w:val="32"/>
          <w:lang w:val="en-US" w:eastAsia="zh-CN"/>
        </w:rPr>
        <w:t>23.53</w:t>
      </w:r>
      <w:r>
        <w:rPr>
          <w:rFonts w:hint="eastAsia" w:ascii="仿宋_GB2312" w:eastAsia="仿宋_GB2312" w:cs="仿宋"/>
          <w:color w:val="auto"/>
          <w:sz w:val="32"/>
          <w:szCs w:val="32"/>
          <w:lang w:val="zh-CN"/>
        </w:rPr>
        <w:t>万元，完成年初预算的</w:t>
      </w:r>
      <w:r>
        <w:rPr>
          <w:rFonts w:hint="eastAsia" w:ascii="仿宋_GB2312" w:eastAsia="仿宋_GB2312" w:cs="仿宋"/>
          <w:color w:val="auto"/>
          <w:sz w:val="32"/>
          <w:szCs w:val="32"/>
          <w:lang w:val="en-US" w:eastAsia="zh-CN"/>
        </w:rPr>
        <w:t>155.42%</w:t>
      </w:r>
      <w:r>
        <w:rPr>
          <w:rFonts w:hint="eastAsia" w:ascii="仿宋_GB2312" w:eastAsia="仿宋_GB2312" w:cs="仿宋"/>
          <w:color w:val="auto"/>
          <w:sz w:val="32"/>
          <w:szCs w:val="32"/>
          <w:lang w:val="zh-CN"/>
        </w:rPr>
        <w:t>。决算数与年初预算数存在差异的主要原因是</w:t>
      </w:r>
      <w:r>
        <w:rPr>
          <w:rFonts w:hint="eastAsia" w:ascii="仿宋_GB2312" w:eastAsia="仿宋_GB2312" w:cs="仿宋"/>
          <w:color w:val="auto"/>
          <w:sz w:val="32"/>
          <w:szCs w:val="32"/>
          <w:lang w:val="en-US" w:eastAsia="zh-CN"/>
        </w:rPr>
        <w:t>2020年离休费增加</w:t>
      </w:r>
      <w:r>
        <w:rPr>
          <w:rFonts w:hint="eastAsia" w:ascii="仿宋_GB2312" w:eastAsia="仿宋_GB2312" w:cs="仿宋"/>
          <w:color w:val="auto"/>
          <w:sz w:val="32"/>
          <w:szCs w:val="32"/>
          <w:lang w:val="zh-CN"/>
        </w:rPr>
        <w:t>。</w:t>
      </w:r>
    </w:p>
    <w:p>
      <w:pPr>
        <w:ind w:firstLine="640" w:firstLineChars="200"/>
        <w:rPr>
          <w:rFonts w:hint="eastAsia" w:ascii="仿宋_GB2312" w:eastAsia="仿宋_GB2312" w:cs="仿宋"/>
          <w:color w:val="auto"/>
          <w:sz w:val="32"/>
          <w:szCs w:val="32"/>
          <w:lang w:val="zh-CN"/>
        </w:rPr>
      </w:pPr>
      <w:r>
        <w:rPr>
          <w:rFonts w:hint="eastAsia" w:ascii="仿宋_GB2312" w:eastAsia="仿宋_GB2312" w:cs="仿宋"/>
          <w:color w:val="auto"/>
          <w:sz w:val="32"/>
          <w:szCs w:val="32"/>
          <w:lang w:val="en-US" w:eastAsia="zh-CN"/>
        </w:rPr>
        <w:t xml:space="preserve"> 3</w:t>
      </w:r>
      <w:r>
        <w:rPr>
          <w:rFonts w:hint="eastAsia" w:ascii="仿宋_GB2312" w:eastAsia="仿宋_GB2312" w:cs="仿宋"/>
          <w:color w:val="auto"/>
          <w:sz w:val="32"/>
          <w:szCs w:val="32"/>
          <w:lang w:val="zh-CN"/>
        </w:rPr>
        <w:t>．</w:t>
      </w:r>
      <w:r>
        <w:rPr>
          <w:rFonts w:hint="eastAsia" w:ascii="仿宋_GB2312" w:eastAsia="仿宋_GB2312" w:cs="仿宋"/>
          <w:color w:val="auto"/>
          <w:sz w:val="32"/>
          <w:szCs w:val="32"/>
          <w:lang w:val="zh-CN" w:eastAsia="zh-CN"/>
        </w:rPr>
        <w:t>卫生健康</w:t>
      </w:r>
      <w:r>
        <w:rPr>
          <w:rFonts w:hint="eastAsia" w:ascii="仿宋_GB2312" w:eastAsia="仿宋_GB2312" w:cs="仿宋"/>
          <w:color w:val="auto"/>
          <w:sz w:val="32"/>
          <w:szCs w:val="32"/>
          <w:lang w:val="en-US" w:eastAsia="zh-CN"/>
        </w:rPr>
        <w:t>支出</w:t>
      </w:r>
      <w:r>
        <w:rPr>
          <w:rFonts w:hint="eastAsia" w:ascii="仿宋_GB2312" w:eastAsia="仿宋_GB2312" w:cs="仿宋"/>
          <w:color w:val="auto"/>
          <w:sz w:val="32"/>
          <w:szCs w:val="32"/>
          <w:lang w:val="zh-CN"/>
        </w:rPr>
        <w:t>（类）</w:t>
      </w:r>
      <w:r>
        <w:rPr>
          <w:rFonts w:hint="eastAsia" w:ascii="仿宋_GB2312" w:eastAsia="仿宋_GB2312" w:cs="仿宋"/>
          <w:color w:val="auto"/>
          <w:sz w:val="32"/>
          <w:szCs w:val="32"/>
          <w:lang w:val="en-US" w:eastAsia="zh-CN"/>
        </w:rPr>
        <w:t>行政事业单位医疗</w:t>
      </w:r>
      <w:r>
        <w:rPr>
          <w:rFonts w:hint="eastAsia" w:ascii="仿宋_GB2312" w:eastAsia="仿宋_GB2312" w:cs="仿宋"/>
          <w:color w:val="auto"/>
          <w:sz w:val="32"/>
          <w:szCs w:val="32"/>
          <w:lang w:val="zh-CN"/>
        </w:rPr>
        <w:t>（款）</w:t>
      </w:r>
      <w:r>
        <w:rPr>
          <w:rFonts w:hint="eastAsia" w:ascii="仿宋_GB2312" w:eastAsia="仿宋_GB2312" w:cs="仿宋"/>
          <w:color w:val="auto"/>
          <w:sz w:val="32"/>
          <w:szCs w:val="32"/>
          <w:lang w:val="en-US" w:eastAsia="zh-CN"/>
        </w:rPr>
        <w:t>行政单位医疗</w:t>
      </w:r>
      <w:r>
        <w:rPr>
          <w:rFonts w:hint="eastAsia" w:ascii="仿宋_GB2312" w:eastAsia="仿宋_GB2312" w:cs="仿宋"/>
          <w:color w:val="auto"/>
          <w:sz w:val="32"/>
          <w:szCs w:val="32"/>
          <w:lang w:val="zh-CN"/>
        </w:rPr>
        <w:t>（项）。年初预算为</w:t>
      </w:r>
      <w:r>
        <w:rPr>
          <w:rFonts w:hint="eastAsia" w:ascii="仿宋_GB2312" w:eastAsia="仿宋_GB2312" w:cs="仿宋"/>
          <w:color w:val="auto"/>
          <w:sz w:val="32"/>
          <w:szCs w:val="32"/>
          <w:lang w:val="en-US" w:eastAsia="zh-CN"/>
        </w:rPr>
        <w:t>5.3</w:t>
      </w:r>
      <w:r>
        <w:rPr>
          <w:rFonts w:hint="eastAsia" w:ascii="仿宋_GB2312" w:eastAsia="仿宋_GB2312" w:cs="仿宋"/>
          <w:color w:val="auto"/>
          <w:sz w:val="32"/>
          <w:szCs w:val="32"/>
          <w:lang w:val="zh-CN"/>
        </w:rPr>
        <w:t>万元，支出决算为</w:t>
      </w:r>
      <w:r>
        <w:rPr>
          <w:rFonts w:hint="eastAsia" w:ascii="仿宋_GB2312" w:eastAsia="仿宋_GB2312" w:cs="仿宋"/>
          <w:color w:val="auto"/>
          <w:sz w:val="32"/>
          <w:szCs w:val="32"/>
          <w:lang w:val="en-US" w:eastAsia="zh-CN"/>
        </w:rPr>
        <w:t>4.13</w:t>
      </w:r>
      <w:r>
        <w:rPr>
          <w:rFonts w:hint="eastAsia" w:ascii="仿宋_GB2312" w:eastAsia="仿宋_GB2312" w:cs="仿宋"/>
          <w:color w:val="auto"/>
          <w:sz w:val="32"/>
          <w:szCs w:val="32"/>
          <w:lang w:val="zh-CN"/>
        </w:rPr>
        <w:t>万元，完成年初预算的</w:t>
      </w:r>
      <w:r>
        <w:rPr>
          <w:rFonts w:hint="eastAsia" w:ascii="仿宋_GB2312" w:eastAsia="仿宋_GB2312" w:cs="仿宋"/>
          <w:color w:val="auto"/>
          <w:sz w:val="32"/>
          <w:szCs w:val="32"/>
          <w:lang w:val="en-US" w:eastAsia="zh-CN"/>
        </w:rPr>
        <w:t>77.74</w:t>
      </w:r>
      <w:r>
        <w:rPr>
          <w:rFonts w:hint="eastAsia" w:ascii="仿宋_GB2312" w:eastAsia="仿宋_GB2312" w:cs="仿宋"/>
          <w:color w:val="auto"/>
          <w:sz w:val="32"/>
          <w:szCs w:val="32"/>
          <w:lang w:val="zh-CN"/>
        </w:rPr>
        <w:t>%。决算数与年初预算数存在差异的主要原因是</w:t>
      </w:r>
      <w:r>
        <w:rPr>
          <w:rFonts w:hint="eastAsia" w:ascii="仿宋_GB2312" w:eastAsia="仿宋_GB2312" w:cs="仿宋"/>
          <w:color w:val="auto"/>
          <w:sz w:val="32"/>
          <w:szCs w:val="32"/>
          <w:lang w:val="en-US" w:eastAsia="zh-CN"/>
        </w:rPr>
        <w:t>人员工资变动</w:t>
      </w:r>
      <w:r>
        <w:rPr>
          <w:rFonts w:hint="eastAsia" w:ascii="仿宋_GB2312" w:eastAsia="仿宋_GB2312" w:cs="仿宋"/>
          <w:color w:val="auto"/>
          <w:sz w:val="32"/>
          <w:szCs w:val="32"/>
          <w:lang w:val="zh-CN"/>
        </w:rPr>
        <w:t>。</w:t>
      </w:r>
    </w:p>
    <w:p>
      <w:pPr>
        <w:ind w:firstLine="640" w:firstLineChars="200"/>
        <w:rPr>
          <w:rFonts w:hint="eastAsia" w:ascii="仿宋_GB2312" w:eastAsia="仿宋_GB2312" w:cs="仿宋"/>
          <w:color w:val="auto"/>
          <w:sz w:val="32"/>
          <w:szCs w:val="32"/>
          <w:lang w:val="zh-CN"/>
        </w:rPr>
      </w:pPr>
      <w:r>
        <w:rPr>
          <w:rFonts w:hint="eastAsia" w:ascii="仿宋_GB2312" w:eastAsia="仿宋_GB2312" w:cs="仿宋"/>
          <w:color w:val="auto"/>
          <w:sz w:val="32"/>
          <w:szCs w:val="32"/>
          <w:lang w:val="en-US" w:eastAsia="zh-CN"/>
        </w:rPr>
        <w:t xml:space="preserve"> 4</w:t>
      </w:r>
      <w:r>
        <w:rPr>
          <w:rFonts w:hint="eastAsia" w:ascii="仿宋_GB2312" w:eastAsia="仿宋_GB2312" w:cs="仿宋"/>
          <w:color w:val="auto"/>
          <w:sz w:val="32"/>
          <w:szCs w:val="32"/>
          <w:lang w:val="zh-CN"/>
        </w:rPr>
        <w:t>．</w:t>
      </w:r>
      <w:r>
        <w:rPr>
          <w:rFonts w:hint="eastAsia" w:ascii="仿宋_GB2312" w:eastAsia="仿宋_GB2312" w:cs="仿宋"/>
          <w:color w:val="auto"/>
          <w:sz w:val="32"/>
          <w:szCs w:val="32"/>
          <w:lang w:val="en-US" w:eastAsia="zh-CN"/>
        </w:rPr>
        <w:t>住房保障支出</w:t>
      </w:r>
      <w:r>
        <w:rPr>
          <w:rFonts w:hint="eastAsia" w:ascii="仿宋_GB2312" w:eastAsia="仿宋_GB2312" w:cs="仿宋"/>
          <w:color w:val="auto"/>
          <w:sz w:val="32"/>
          <w:szCs w:val="32"/>
          <w:lang w:val="zh-CN"/>
        </w:rPr>
        <w:t>（类）</w:t>
      </w:r>
      <w:r>
        <w:rPr>
          <w:rFonts w:hint="eastAsia" w:ascii="仿宋_GB2312" w:eastAsia="仿宋_GB2312" w:cs="仿宋"/>
          <w:color w:val="auto"/>
          <w:sz w:val="32"/>
          <w:szCs w:val="32"/>
          <w:lang w:val="en-US" w:eastAsia="zh-CN"/>
        </w:rPr>
        <w:t>住房改革支出</w:t>
      </w:r>
      <w:r>
        <w:rPr>
          <w:rFonts w:hint="eastAsia" w:ascii="仿宋_GB2312" w:eastAsia="仿宋_GB2312" w:cs="仿宋"/>
          <w:color w:val="auto"/>
          <w:sz w:val="32"/>
          <w:szCs w:val="32"/>
          <w:lang w:val="zh-CN"/>
        </w:rPr>
        <w:t>（款）</w:t>
      </w:r>
      <w:r>
        <w:rPr>
          <w:rFonts w:hint="eastAsia" w:ascii="仿宋_GB2312" w:eastAsia="仿宋_GB2312" w:cs="仿宋"/>
          <w:color w:val="auto"/>
          <w:sz w:val="32"/>
          <w:szCs w:val="32"/>
          <w:lang w:val="en-US" w:eastAsia="zh-CN"/>
        </w:rPr>
        <w:t>住房公积金</w:t>
      </w:r>
      <w:r>
        <w:rPr>
          <w:rFonts w:hint="eastAsia" w:ascii="仿宋_GB2312" w:eastAsia="仿宋_GB2312" w:cs="仿宋"/>
          <w:color w:val="auto"/>
          <w:sz w:val="32"/>
          <w:szCs w:val="32"/>
          <w:lang w:val="zh-CN"/>
        </w:rPr>
        <w:t>（项）。年初预算为</w:t>
      </w:r>
      <w:r>
        <w:rPr>
          <w:rFonts w:hint="eastAsia" w:ascii="仿宋_GB2312" w:eastAsia="仿宋_GB2312" w:cs="仿宋"/>
          <w:color w:val="auto"/>
          <w:sz w:val="32"/>
          <w:szCs w:val="32"/>
          <w:lang w:val="en-US" w:eastAsia="zh-CN"/>
        </w:rPr>
        <w:t>4.89</w:t>
      </w:r>
      <w:r>
        <w:rPr>
          <w:rFonts w:hint="eastAsia" w:ascii="仿宋_GB2312" w:eastAsia="仿宋_GB2312" w:cs="仿宋"/>
          <w:color w:val="auto"/>
          <w:sz w:val="32"/>
          <w:szCs w:val="32"/>
          <w:lang w:val="zh-CN"/>
        </w:rPr>
        <w:t>万元，支出决算为</w:t>
      </w:r>
      <w:r>
        <w:rPr>
          <w:rFonts w:hint="eastAsia" w:ascii="仿宋_GB2312" w:eastAsia="仿宋_GB2312" w:cs="仿宋"/>
          <w:color w:val="auto"/>
          <w:sz w:val="32"/>
          <w:szCs w:val="32"/>
          <w:lang w:val="en-US" w:eastAsia="zh-CN"/>
        </w:rPr>
        <w:t>4.89</w:t>
      </w:r>
      <w:r>
        <w:rPr>
          <w:rFonts w:hint="eastAsia" w:ascii="仿宋_GB2312" w:eastAsia="仿宋_GB2312" w:cs="仿宋"/>
          <w:color w:val="auto"/>
          <w:sz w:val="32"/>
          <w:szCs w:val="32"/>
          <w:lang w:val="zh-CN"/>
        </w:rPr>
        <w:t>万元，完成年初预算的</w:t>
      </w:r>
      <w:r>
        <w:rPr>
          <w:rFonts w:hint="eastAsia" w:ascii="仿宋_GB2312" w:eastAsia="仿宋_GB2312" w:cs="仿宋"/>
          <w:color w:val="auto"/>
          <w:sz w:val="32"/>
          <w:szCs w:val="32"/>
          <w:lang w:val="en-US" w:eastAsia="zh-CN"/>
        </w:rPr>
        <w:t>100%</w:t>
      </w:r>
      <w:r>
        <w:rPr>
          <w:rFonts w:hint="eastAsia" w:ascii="仿宋_GB2312" w:eastAsia="仿宋_GB2312" w:cs="仿宋"/>
          <w:color w:val="auto"/>
          <w:sz w:val="32"/>
          <w:szCs w:val="32"/>
          <w:lang w:val="zh-CN"/>
        </w:rPr>
        <w:t>。决算数与年初预算数</w:t>
      </w:r>
      <w:r>
        <w:rPr>
          <w:rFonts w:hint="eastAsia" w:ascii="仿宋_GB2312" w:eastAsia="仿宋_GB2312" w:cs="仿宋"/>
          <w:color w:val="auto"/>
          <w:sz w:val="32"/>
          <w:szCs w:val="32"/>
          <w:lang w:val="en-US" w:eastAsia="zh-CN"/>
        </w:rPr>
        <w:t>未</w:t>
      </w:r>
      <w:r>
        <w:rPr>
          <w:rFonts w:hint="eastAsia" w:ascii="仿宋_GB2312" w:eastAsia="仿宋_GB2312" w:cs="仿宋"/>
          <w:color w:val="auto"/>
          <w:sz w:val="32"/>
          <w:szCs w:val="32"/>
          <w:lang w:val="zh-CN"/>
        </w:rPr>
        <w:t>存在差异的主要原因是</w:t>
      </w:r>
      <w:r>
        <w:rPr>
          <w:rFonts w:hint="eastAsia" w:ascii="仿宋_GB2312" w:eastAsia="仿宋_GB2312" w:cs="仿宋"/>
          <w:color w:val="auto"/>
          <w:sz w:val="32"/>
          <w:szCs w:val="32"/>
          <w:lang w:val="en-US" w:eastAsia="zh-CN"/>
        </w:rPr>
        <w:t>年初预算精准</w:t>
      </w:r>
      <w:r>
        <w:rPr>
          <w:rFonts w:hint="eastAsia" w:ascii="仿宋_GB2312" w:eastAsia="仿宋_GB2312" w:cs="仿宋"/>
          <w:color w:val="auto"/>
          <w:sz w:val="32"/>
          <w:szCs w:val="32"/>
          <w:lang w:val="zh-CN"/>
        </w:rPr>
        <w:t>。</w:t>
      </w:r>
    </w:p>
    <w:p>
      <w:pPr>
        <w:rPr>
          <w:rFonts w:hint="eastAsia" w:ascii="仿宋_GB2312" w:eastAsia="仿宋_GB2312" w:cs="仿宋"/>
          <w:color w:val="auto"/>
          <w:sz w:val="32"/>
          <w:szCs w:val="32"/>
          <w:lang w:val="zh-CN"/>
        </w:rPr>
      </w:pPr>
      <w:r>
        <w:rPr>
          <w:rFonts w:hint="eastAsia" w:ascii="仿宋_GB2312" w:eastAsia="仿宋_GB2312" w:cs="仿宋"/>
          <w:color w:val="0000FF"/>
          <w:sz w:val="32"/>
          <w:szCs w:val="32"/>
          <w:lang w:val="en-US" w:eastAsia="zh-CN"/>
        </w:rPr>
        <w:t xml:space="preserve">   </w:t>
      </w:r>
      <w:r>
        <w:rPr>
          <w:rFonts w:hint="eastAsia" w:ascii="仿宋_GB2312" w:eastAsia="仿宋_GB2312" w:cs="仿宋"/>
          <w:color w:val="auto"/>
          <w:sz w:val="32"/>
          <w:szCs w:val="32"/>
          <w:lang w:val="en-US" w:eastAsia="zh-CN"/>
        </w:rPr>
        <w:t xml:space="preserve"> </w:t>
      </w:r>
      <w:r>
        <w:rPr>
          <w:rFonts w:hint="eastAsia" w:ascii="仿宋_GB2312" w:eastAsia="仿宋_GB2312" w:cs="仿宋"/>
          <w:color w:val="auto"/>
          <w:sz w:val="32"/>
          <w:szCs w:val="32"/>
          <w:lang w:val="zh-CN"/>
        </w:rPr>
        <w:t>六、一般公共预算财政拨款基本支出决算情况说明</w:t>
      </w:r>
    </w:p>
    <w:p>
      <w:pPr>
        <w:ind w:firstLine="640"/>
        <w:rPr>
          <w:rFonts w:hint="eastAsia" w:ascii="仿宋_GB2312" w:eastAsia="仿宋_GB2312" w:cs="仿宋"/>
          <w:color w:val="auto"/>
          <w:sz w:val="32"/>
          <w:szCs w:val="32"/>
          <w:lang w:val="zh-CN"/>
        </w:rPr>
      </w:pPr>
      <w:r>
        <w:rPr>
          <w:rFonts w:hint="eastAsia" w:ascii="仿宋_GB2312" w:eastAsia="仿宋_GB2312" w:cs="仿宋"/>
          <w:color w:val="auto"/>
          <w:sz w:val="32"/>
          <w:szCs w:val="32"/>
          <w:lang w:val="en-US" w:eastAsia="zh-CN"/>
        </w:rPr>
        <w:t>2020</w:t>
      </w:r>
      <w:r>
        <w:rPr>
          <w:rFonts w:hint="eastAsia" w:ascii="仿宋_GB2312" w:eastAsia="仿宋_GB2312" w:cs="仿宋"/>
          <w:color w:val="auto"/>
          <w:sz w:val="32"/>
          <w:szCs w:val="32"/>
          <w:lang w:val="zh-CN"/>
        </w:rPr>
        <w:t>年度一般公共预算财政拨款基本支出</w:t>
      </w:r>
      <w:r>
        <w:rPr>
          <w:rFonts w:hint="eastAsia" w:ascii="仿宋_GB2312" w:eastAsia="仿宋_GB2312" w:cs="仿宋"/>
          <w:color w:val="auto"/>
          <w:sz w:val="32"/>
          <w:szCs w:val="32"/>
          <w:lang w:val="en-US" w:eastAsia="zh-CN"/>
        </w:rPr>
        <w:t>130.58</w:t>
      </w:r>
      <w:r>
        <w:rPr>
          <w:rFonts w:hint="eastAsia" w:ascii="仿宋_GB2312" w:eastAsia="仿宋_GB2312" w:cs="仿宋"/>
          <w:color w:val="auto"/>
          <w:sz w:val="32"/>
          <w:szCs w:val="32"/>
          <w:lang w:val="zh-CN"/>
        </w:rPr>
        <w:t>万元。其中：人员经费</w:t>
      </w:r>
      <w:r>
        <w:rPr>
          <w:rFonts w:hint="eastAsia" w:ascii="仿宋_GB2312" w:eastAsia="仿宋_GB2312" w:cs="仿宋"/>
          <w:color w:val="auto"/>
          <w:sz w:val="32"/>
          <w:szCs w:val="32"/>
          <w:lang w:val="en-US" w:eastAsia="zh-CN"/>
        </w:rPr>
        <w:t>125.78</w:t>
      </w:r>
      <w:r>
        <w:rPr>
          <w:rFonts w:hint="eastAsia" w:ascii="仿宋_GB2312" w:eastAsia="仿宋_GB2312" w:cs="仿宋"/>
          <w:color w:val="auto"/>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cs="仿宋"/>
          <w:color w:val="auto"/>
          <w:sz w:val="32"/>
          <w:szCs w:val="32"/>
          <w:lang w:val="en-US" w:eastAsia="zh-CN"/>
        </w:rPr>
        <w:t>4.8</w:t>
      </w:r>
      <w:r>
        <w:rPr>
          <w:rFonts w:hint="eastAsia" w:ascii="仿宋_GB2312" w:eastAsia="仿宋_GB2312" w:cs="仿宋"/>
          <w:color w:val="auto"/>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七、一般公共预算财政拨款</w:t>
      </w:r>
      <w:r>
        <w:rPr>
          <w:rFonts w:hint="default" w:ascii="仿宋_GB2312" w:eastAsia="仿宋_GB2312" w:cs="仿宋"/>
          <w:sz w:val="32"/>
          <w:szCs w:val="32"/>
          <w:lang w:val="zh-CN"/>
        </w:rPr>
        <w:t>“</w:t>
      </w:r>
      <w:r>
        <w:rPr>
          <w:rFonts w:hint="eastAsia" w:ascii="仿宋_GB2312" w:eastAsia="仿宋_GB2312" w:cs="仿宋"/>
          <w:sz w:val="32"/>
          <w:szCs w:val="32"/>
          <w:lang w:val="zh-CN"/>
        </w:rPr>
        <w:t>三公</w:t>
      </w:r>
      <w:r>
        <w:rPr>
          <w:rFonts w:hint="default" w:ascii="仿宋_GB2312" w:eastAsia="仿宋_GB2312" w:cs="仿宋"/>
          <w:sz w:val="32"/>
          <w:szCs w:val="32"/>
          <w:lang w:val="zh-CN"/>
        </w:rPr>
        <w:t>”</w:t>
      </w:r>
      <w:r>
        <w:rPr>
          <w:rFonts w:hint="eastAsia" w:ascii="仿宋_GB2312" w:eastAsia="仿宋_GB2312" w:cs="仿宋"/>
          <w:sz w:val="32"/>
          <w:szCs w:val="32"/>
          <w:lang w:val="zh-CN"/>
        </w:rPr>
        <w:t>经费支出决算情况说明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（一）</w:t>
      </w:r>
      <w:r>
        <w:rPr>
          <w:rFonts w:hint="default" w:ascii="仿宋_GB2312" w:eastAsia="仿宋_GB2312" w:cs="仿宋"/>
          <w:sz w:val="32"/>
          <w:szCs w:val="32"/>
          <w:lang w:val="zh-CN"/>
        </w:rPr>
        <w:t>“</w:t>
      </w:r>
      <w:r>
        <w:rPr>
          <w:rFonts w:hint="eastAsia" w:ascii="仿宋_GB2312" w:eastAsia="仿宋_GB2312" w:cs="仿宋"/>
          <w:sz w:val="32"/>
          <w:szCs w:val="32"/>
          <w:lang w:val="zh-CN"/>
        </w:rPr>
        <w:t>三公</w:t>
      </w:r>
      <w:r>
        <w:rPr>
          <w:rFonts w:hint="default" w:ascii="仿宋_GB2312" w:eastAsia="仿宋_GB2312" w:cs="仿宋"/>
          <w:sz w:val="32"/>
          <w:szCs w:val="32"/>
          <w:lang w:val="zh-CN"/>
        </w:rPr>
        <w:t>”</w:t>
      </w:r>
      <w:r>
        <w:rPr>
          <w:rFonts w:hint="eastAsia" w:ascii="仿宋_GB2312" w:eastAsia="仿宋_GB2312" w:cs="仿宋"/>
          <w:sz w:val="32"/>
          <w:szCs w:val="32"/>
          <w:lang w:val="zh-CN"/>
        </w:rPr>
        <w:t>经费财政拨款支出决算总体情况说明。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w:t>
      </w:r>
      <w:r>
        <w:rPr>
          <w:rFonts w:hint="default" w:ascii="仿宋_GB2312" w:eastAsia="仿宋_GB2312" w:cs="仿宋"/>
          <w:sz w:val="32"/>
          <w:szCs w:val="32"/>
          <w:lang w:val="zh-CN"/>
        </w:rPr>
        <w:t>“</w:t>
      </w:r>
      <w:r>
        <w:rPr>
          <w:rFonts w:hint="eastAsia" w:ascii="仿宋_GB2312" w:eastAsia="仿宋_GB2312" w:cs="仿宋"/>
          <w:sz w:val="32"/>
          <w:szCs w:val="32"/>
          <w:lang w:val="zh-CN"/>
        </w:rPr>
        <w:t>三公</w:t>
      </w:r>
      <w:r>
        <w:rPr>
          <w:rFonts w:hint="default" w:ascii="仿宋_GB2312" w:eastAsia="仿宋_GB2312" w:cs="仿宋"/>
          <w:sz w:val="32"/>
          <w:szCs w:val="32"/>
          <w:lang w:val="zh-CN"/>
        </w:rPr>
        <w:t>”</w:t>
      </w:r>
      <w:r>
        <w:rPr>
          <w:rFonts w:hint="eastAsia" w:ascii="仿宋_GB2312" w:eastAsia="仿宋_GB2312" w:cs="仿宋"/>
          <w:sz w:val="32"/>
          <w:szCs w:val="32"/>
          <w:lang w:val="zh-CN"/>
        </w:rPr>
        <w:t>经费财政拨款支出预算为0万元，支出决算为0万元，完成预算的0%。</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（二）</w:t>
      </w:r>
      <w:r>
        <w:rPr>
          <w:rFonts w:hint="default" w:ascii="仿宋_GB2312" w:eastAsia="仿宋_GB2312" w:cs="仿宋"/>
          <w:sz w:val="32"/>
          <w:szCs w:val="32"/>
          <w:lang w:val="zh-CN"/>
        </w:rPr>
        <w:t>“</w:t>
      </w:r>
      <w:r>
        <w:rPr>
          <w:rFonts w:hint="eastAsia" w:ascii="仿宋_GB2312" w:eastAsia="仿宋_GB2312" w:cs="仿宋"/>
          <w:sz w:val="32"/>
          <w:szCs w:val="32"/>
          <w:lang w:val="zh-CN"/>
        </w:rPr>
        <w:t>三公</w:t>
      </w:r>
      <w:r>
        <w:rPr>
          <w:rFonts w:hint="default" w:ascii="仿宋_GB2312" w:eastAsia="仿宋_GB2312" w:cs="仿宋"/>
          <w:sz w:val="32"/>
          <w:szCs w:val="32"/>
          <w:lang w:val="zh-CN"/>
        </w:rPr>
        <w:t>”</w:t>
      </w:r>
      <w:r>
        <w:rPr>
          <w:rFonts w:hint="eastAsia" w:ascii="仿宋_GB2312" w:eastAsia="仿宋_GB2312" w:cs="仿宋"/>
          <w:sz w:val="32"/>
          <w:szCs w:val="32"/>
          <w:lang w:val="zh-CN"/>
        </w:rPr>
        <w:t>经费财政拨款支出决算具体情况说明。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w:t>
      </w:r>
      <w:r>
        <w:rPr>
          <w:rFonts w:hint="default" w:ascii="仿宋_GB2312" w:eastAsia="仿宋_GB2312" w:cs="仿宋"/>
          <w:sz w:val="32"/>
          <w:szCs w:val="32"/>
          <w:lang w:val="zh-CN"/>
        </w:rPr>
        <w:t>“</w:t>
      </w:r>
      <w:r>
        <w:rPr>
          <w:rFonts w:hint="eastAsia" w:ascii="仿宋_GB2312" w:eastAsia="仿宋_GB2312" w:cs="仿宋"/>
          <w:sz w:val="32"/>
          <w:szCs w:val="32"/>
          <w:lang w:val="zh-CN"/>
        </w:rPr>
        <w:t>三公</w:t>
      </w:r>
      <w:r>
        <w:rPr>
          <w:rFonts w:hint="default" w:ascii="仿宋_GB2312" w:eastAsia="仿宋_GB2312" w:cs="仿宋"/>
          <w:sz w:val="32"/>
          <w:szCs w:val="32"/>
          <w:lang w:val="zh-CN"/>
        </w:rPr>
        <w:t>”</w:t>
      </w:r>
      <w:r>
        <w:rPr>
          <w:rFonts w:hint="eastAsia" w:ascii="仿宋_GB2312" w:eastAsia="仿宋_GB2312" w:cs="仿宋"/>
          <w:sz w:val="32"/>
          <w:szCs w:val="32"/>
          <w:lang w:val="zh-CN"/>
        </w:rPr>
        <w:t>经费财政拨款支出决算中，因公出国（境）费支出决算0万元，完成预算的0%，占0%；公务用车购置及运行费支出决算0万元，完成预算的0%，占0%；公务接待费支出决算0万元，完成预算的0%，占0%。具体情况如下：</w:t>
      </w:r>
    </w:p>
    <w:p>
      <w:pPr>
        <w:autoSpaceDE w:val="0"/>
        <w:autoSpaceDN w:val="0"/>
        <w:adjustRightInd w:val="0"/>
        <w:rPr>
          <w:rFonts w:hint="eastAsia" w:ascii="仿宋_GB2312" w:eastAsia="仿宋_GB2312" w:cs="黑体"/>
          <w:color w:val="000000"/>
          <w:sz w:val="32"/>
          <w:szCs w:val="32"/>
          <w:lang w:val="zh-CN"/>
        </w:rPr>
      </w:pPr>
      <w:r>
        <w:rPr>
          <w:rFonts w:hint="eastAsia" w:ascii="仿宋_GB2312" w:eastAsia="仿宋_GB2312" w:cs="黑体"/>
          <w:color w:val="000000"/>
          <w:sz w:val="32"/>
          <w:szCs w:val="32"/>
          <w:lang w:val="en-US" w:eastAsia="zh-CN"/>
        </w:rPr>
        <w:t xml:space="preserve">    </w:t>
      </w:r>
      <w:r>
        <w:rPr>
          <w:rFonts w:hint="eastAsia" w:ascii="仿宋_GB2312" w:eastAsia="仿宋_GB2312" w:cs="黑体"/>
          <w:color w:val="000000"/>
          <w:sz w:val="32"/>
          <w:szCs w:val="32"/>
          <w:lang w:val="zh-CN"/>
        </w:rPr>
        <w:t>1．因公出国（境）费年初预算为0万元，支出决算为0万元。全年因公出国（境）团组</w:t>
      </w:r>
      <w:r>
        <w:rPr>
          <w:rFonts w:hint="eastAsia" w:ascii="仿宋_GB2312" w:eastAsia="仿宋_GB2312" w:cs="黑体"/>
          <w:color w:val="000000"/>
          <w:sz w:val="32"/>
          <w:szCs w:val="32"/>
          <w:lang w:val="en-US" w:eastAsia="zh-CN"/>
        </w:rPr>
        <w:t>0</w:t>
      </w:r>
      <w:r>
        <w:rPr>
          <w:rFonts w:hint="eastAsia" w:ascii="仿宋_GB2312" w:eastAsia="仿宋_GB2312" w:cs="黑体"/>
          <w:color w:val="000000"/>
          <w:sz w:val="32"/>
          <w:szCs w:val="32"/>
          <w:lang w:val="zh-CN"/>
        </w:rPr>
        <w:t>个，累计</w:t>
      </w:r>
      <w:r>
        <w:rPr>
          <w:rFonts w:hint="eastAsia" w:ascii="仿宋_GB2312" w:eastAsia="仿宋_GB2312" w:cs="黑体"/>
          <w:color w:val="000000"/>
          <w:sz w:val="32"/>
          <w:szCs w:val="32"/>
          <w:lang w:val="en-US" w:eastAsia="zh-CN"/>
        </w:rPr>
        <w:t>0</w:t>
      </w:r>
      <w:r>
        <w:rPr>
          <w:rFonts w:hint="eastAsia" w:ascii="仿宋_GB2312" w:eastAsia="仿宋_GB2312" w:cs="黑体"/>
          <w:color w:val="000000"/>
          <w:sz w:val="32"/>
          <w:szCs w:val="32"/>
          <w:lang w:val="zh-CN"/>
        </w:rPr>
        <w:t>人次。</w:t>
      </w:r>
    </w:p>
    <w:p>
      <w:pPr>
        <w:widowControl/>
        <w:numPr>
          <w:ilvl w:val="0"/>
          <w:numId w:val="0"/>
        </w:numPr>
        <w:spacing w:line="590" w:lineRule="exact"/>
        <w:rPr>
          <w:rFonts w:hint="eastAsia" w:ascii="仿宋_GB2312" w:hAnsi="仿宋_GB2312" w:eastAsia="仿宋_GB2312" w:cs="仿宋_GB2312"/>
          <w:b w:val="0"/>
          <w:bCs w:val="0"/>
          <w:sz w:val="32"/>
          <w:szCs w:val="32"/>
        </w:rPr>
      </w:pPr>
      <w:r>
        <w:rPr>
          <w:rFonts w:hint="eastAsia" w:ascii="仿宋_GB2312" w:eastAsia="仿宋_GB2312" w:cs="黑体"/>
          <w:color w:val="000000"/>
          <w:sz w:val="32"/>
          <w:szCs w:val="32"/>
          <w:lang w:val="en-US" w:eastAsia="zh-CN"/>
        </w:rPr>
        <w:t xml:space="preserve">    </w:t>
      </w:r>
      <w:r>
        <w:rPr>
          <w:rFonts w:hint="eastAsia" w:ascii="仿宋_GB2312" w:eastAsia="仿宋_GB2312" w:cs="黑体"/>
          <w:color w:val="000000"/>
          <w:sz w:val="32"/>
          <w:szCs w:val="32"/>
          <w:lang w:val="zh-CN"/>
        </w:rPr>
        <w:t>2．公务用车购置及运行费初预算为0万元，支出决算为0万元</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2020</w:t>
      </w:r>
      <w:r>
        <w:rPr>
          <w:rFonts w:hint="eastAsia" w:ascii="仿宋_GB2312" w:hAnsi="仿宋_GB2312" w:eastAsia="仿宋_GB2312" w:cs="仿宋_GB2312"/>
          <w:b w:val="0"/>
          <w:bCs w:val="0"/>
          <w:color w:val="000000"/>
          <w:sz w:val="32"/>
          <w:szCs w:val="32"/>
        </w:rPr>
        <w:t>年期末，部门开支财政拨款的公务用车保有量为</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辆。</w:t>
      </w:r>
      <w:r>
        <w:rPr>
          <w:rFonts w:hint="eastAsia" w:ascii="仿宋_GB2312" w:hAnsi="仿宋_GB2312" w:eastAsia="仿宋_GB2312" w:cs="仿宋_GB2312"/>
          <w:b w:val="0"/>
          <w:bCs w:val="0"/>
          <w:sz w:val="32"/>
          <w:szCs w:val="32"/>
        </w:rPr>
        <w:t>公务用车购置支出为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万元，购置车辆</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辆。</w:t>
      </w:r>
    </w:p>
    <w:p>
      <w:pPr>
        <w:widowControl/>
        <w:spacing w:line="59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公务用车运行支出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rPr>
        <w:t>年期末，部门开支财政拨款的公务用车保有量为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辆。</w:t>
      </w:r>
    </w:p>
    <w:p>
      <w:pPr>
        <w:widowControl/>
        <w:spacing w:line="590" w:lineRule="exact"/>
        <w:ind w:firstLine="640" w:firstLineChars="200"/>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highlight w:val="none"/>
        </w:rPr>
        <w:t>公务用车购置及运行费支出决算比上年度增加</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rPr>
        <w:t>万元，增长</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 xml:space="preserve">         </w:t>
      </w:r>
    </w:p>
    <w:p>
      <w:pPr>
        <w:numPr>
          <w:ilvl w:val="0"/>
          <w:numId w:val="0"/>
        </w:numPr>
        <w:autoSpaceDE w:val="0"/>
        <w:autoSpaceDN w:val="0"/>
        <w:adjustRightInd w:val="0"/>
        <w:ind w:firstLine="640" w:firstLineChars="200"/>
        <w:rPr>
          <w:rFonts w:hint="eastAsia" w:ascii="仿宋_GB2312" w:eastAsia="仿宋_GB2312" w:cs="黑体"/>
          <w:color w:val="auto"/>
          <w:sz w:val="32"/>
          <w:szCs w:val="32"/>
          <w:lang w:val="zh-CN"/>
        </w:rPr>
      </w:pPr>
      <w:r>
        <w:rPr>
          <w:rFonts w:hint="eastAsia" w:ascii="仿宋_GB2312" w:eastAsia="仿宋_GB2312" w:cs="黑体"/>
          <w:color w:val="auto"/>
          <w:sz w:val="32"/>
          <w:szCs w:val="32"/>
          <w:lang w:val="en-US" w:eastAsia="zh-CN"/>
        </w:rPr>
        <w:t>3.</w:t>
      </w:r>
      <w:r>
        <w:rPr>
          <w:rFonts w:hint="eastAsia" w:ascii="仿宋_GB2312" w:eastAsia="仿宋_GB2312" w:cs="黑体"/>
          <w:color w:val="auto"/>
          <w:sz w:val="32"/>
          <w:szCs w:val="32"/>
          <w:lang w:val="zh-CN"/>
        </w:rPr>
        <w:t>公务接待费初预算为</w:t>
      </w:r>
      <w:r>
        <w:rPr>
          <w:rFonts w:hint="eastAsia" w:ascii="仿宋_GB2312" w:eastAsia="仿宋_GB2312" w:cs="黑体"/>
          <w:color w:val="auto"/>
          <w:sz w:val="32"/>
          <w:szCs w:val="32"/>
          <w:lang w:val="en-US" w:eastAsia="zh-CN"/>
        </w:rPr>
        <w:t>0</w:t>
      </w:r>
      <w:r>
        <w:rPr>
          <w:rFonts w:hint="eastAsia" w:ascii="仿宋_GB2312" w:eastAsia="仿宋_GB2312" w:cs="黑体"/>
          <w:color w:val="auto"/>
          <w:sz w:val="32"/>
          <w:szCs w:val="32"/>
          <w:lang w:val="zh-CN"/>
        </w:rPr>
        <w:t>万元，支出决算为</w:t>
      </w:r>
      <w:r>
        <w:rPr>
          <w:rFonts w:hint="eastAsia" w:ascii="仿宋_GB2312" w:eastAsia="仿宋_GB2312" w:cs="黑体"/>
          <w:color w:val="auto"/>
          <w:sz w:val="32"/>
          <w:szCs w:val="32"/>
          <w:lang w:val="en-US" w:eastAsia="zh-CN"/>
        </w:rPr>
        <w:t>0</w:t>
      </w:r>
      <w:r>
        <w:rPr>
          <w:rFonts w:hint="eastAsia" w:ascii="仿宋_GB2312" w:eastAsia="仿宋_GB2312" w:cs="黑体"/>
          <w:color w:val="auto"/>
          <w:sz w:val="32"/>
          <w:szCs w:val="32"/>
          <w:lang w:val="zh-CN"/>
        </w:rPr>
        <w:t>万元，完成年初预算的</w:t>
      </w:r>
      <w:r>
        <w:rPr>
          <w:rFonts w:hint="eastAsia" w:ascii="仿宋_GB2312" w:eastAsia="仿宋_GB2312" w:cs="黑体"/>
          <w:color w:val="auto"/>
          <w:sz w:val="32"/>
          <w:szCs w:val="32"/>
          <w:lang w:val="en-US" w:eastAsia="zh-CN"/>
        </w:rPr>
        <w:t>0</w:t>
      </w:r>
      <w:r>
        <w:rPr>
          <w:rFonts w:hint="eastAsia" w:ascii="仿宋_GB2312" w:eastAsia="仿宋_GB2312" w:cs="黑体"/>
          <w:color w:val="auto"/>
          <w:sz w:val="32"/>
          <w:szCs w:val="32"/>
          <w:lang w:val="zh-CN"/>
        </w:rPr>
        <w:t>%。</w:t>
      </w:r>
      <w:r>
        <w:rPr>
          <w:rFonts w:hint="eastAsia" w:ascii="仿宋_GB2312" w:eastAsia="仿宋_GB2312" w:cs="黑体"/>
          <w:color w:val="auto"/>
          <w:sz w:val="32"/>
          <w:szCs w:val="32"/>
          <w:lang w:val="zh-CN" w:eastAsia="zh-CN"/>
        </w:rPr>
        <w:t>其中：</w:t>
      </w:r>
    </w:p>
    <w:p>
      <w:pPr>
        <w:widowControl/>
        <w:spacing w:line="590" w:lineRule="exact"/>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外宾接待支出</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万元。</w:t>
      </w:r>
      <w:r>
        <w:rPr>
          <w:rFonts w:hint="eastAsia" w:ascii="仿宋_GB2312" w:hAnsi="仿宋_GB2312" w:eastAsia="仿宋_GB2312" w:cs="仿宋_GB2312"/>
          <w:b w:val="0"/>
          <w:bCs w:val="0"/>
          <w:color w:val="000000"/>
          <w:sz w:val="32"/>
          <w:szCs w:val="32"/>
          <w:lang w:val="en-US" w:eastAsia="zh-CN"/>
        </w:rPr>
        <w:t>2020</w:t>
      </w:r>
      <w:r>
        <w:rPr>
          <w:rFonts w:hint="eastAsia" w:ascii="仿宋_GB2312" w:hAnsi="仿宋_GB2312" w:eastAsia="仿宋_GB2312" w:cs="仿宋_GB2312"/>
          <w:b w:val="0"/>
          <w:bCs w:val="0"/>
          <w:color w:val="000000"/>
          <w:sz w:val="32"/>
          <w:szCs w:val="32"/>
        </w:rPr>
        <w:t>年共接待国（境）外来访团组</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个、来访外宾</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人次（不包括陪同人员）</w:t>
      </w:r>
      <w:r>
        <w:rPr>
          <w:rFonts w:hint="eastAsia" w:ascii="仿宋_GB2312" w:hAnsi="仿宋_GB2312" w:eastAsia="仿宋_GB2312" w:cs="仿宋_GB2312"/>
          <w:b w:val="0"/>
          <w:bCs w:val="0"/>
          <w:color w:val="000000"/>
          <w:sz w:val="32"/>
          <w:szCs w:val="32"/>
          <w:lang w:eastAsia="zh-CN"/>
        </w:rPr>
        <w:t>。</w:t>
      </w:r>
    </w:p>
    <w:p>
      <w:pPr>
        <w:widowControl/>
        <w:spacing w:line="590" w:lineRule="exact"/>
        <w:ind w:firstLine="640" w:firstLineChars="200"/>
        <w:rPr>
          <w:rFonts w:hint="eastAsia" w:ascii="仿宋_GB2312" w:eastAsia="仿宋_GB2312" w:cs="黑体"/>
          <w:sz w:val="32"/>
          <w:szCs w:val="32"/>
          <w:lang w:val="zh-CN"/>
        </w:rPr>
      </w:pPr>
      <w:r>
        <w:rPr>
          <w:rFonts w:hint="eastAsia" w:ascii="仿宋_GB2312" w:hAnsi="仿宋_GB2312" w:eastAsia="仿宋_GB2312" w:cs="仿宋_GB2312"/>
          <w:b w:val="0"/>
          <w:bCs w:val="0"/>
          <w:color w:val="000000"/>
          <w:sz w:val="32"/>
          <w:szCs w:val="32"/>
        </w:rPr>
        <w:t>其他国内公务接待支出</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万元。</w:t>
      </w:r>
      <w:r>
        <w:rPr>
          <w:rFonts w:hint="eastAsia" w:ascii="仿宋_GB2312" w:hAnsi="仿宋_GB2312" w:eastAsia="仿宋_GB2312" w:cs="仿宋_GB2312"/>
          <w:b w:val="0"/>
          <w:bCs w:val="0"/>
          <w:color w:val="000000"/>
          <w:sz w:val="32"/>
          <w:szCs w:val="32"/>
          <w:lang w:val="en-US" w:eastAsia="zh-CN"/>
        </w:rPr>
        <w:t>2020</w:t>
      </w:r>
      <w:r>
        <w:rPr>
          <w:rFonts w:hint="eastAsia" w:ascii="仿宋_GB2312" w:hAnsi="仿宋_GB2312" w:eastAsia="仿宋_GB2312" w:cs="仿宋_GB2312"/>
          <w:b w:val="0"/>
          <w:bCs w:val="0"/>
          <w:color w:val="000000"/>
          <w:sz w:val="32"/>
          <w:szCs w:val="32"/>
        </w:rPr>
        <w:t>年共接待国内来访团组</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个、来宾</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人次（不包括陪同人员）。</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八、预算绩效情况说明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（一）绩效管理工作开展情况。</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未开展绩效评价工作。</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（二）项目绩效自评结果。</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未开展绩效评价工作。</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（三）以部门为主体开展的重点绩效评价结果。</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未开展绩效评价工作。</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九、政府性基金预算财政拨款支出决算情况说明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年度政府性基金预算财政拨款支出年初预算为0万元，支出决算为0万元，完成年初预算的0%。</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十、机关运行经费支出情况说明</w:t>
      </w:r>
    </w:p>
    <w:p>
      <w:pPr>
        <w:rPr>
          <w:rFonts w:hint="eastAsia" w:ascii="仿宋_GB2312" w:eastAsia="仿宋_GB2312" w:cs="仿宋"/>
          <w:color w:val="auto"/>
          <w:sz w:val="32"/>
          <w:szCs w:val="32"/>
          <w:lang w:val="zh-CN"/>
        </w:rPr>
      </w:pPr>
      <w:r>
        <w:rPr>
          <w:rFonts w:hint="eastAsia" w:ascii="仿宋_GB2312" w:eastAsia="仿宋_GB2312" w:cs="仿宋"/>
          <w:color w:val="auto"/>
          <w:sz w:val="32"/>
          <w:szCs w:val="32"/>
          <w:lang w:val="en-US" w:eastAsia="zh-CN"/>
        </w:rPr>
        <w:t xml:space="preserve">   2020</w:t>
      </w:r>
      <w:r>
        <w:rPr>
          <w:rFonts w:hint="eastAsia" w:ascii="仿宋_GB2312" w:eastAsia="仿宋_GB2312" w:cs="仿宋"/>
          <w:color w:val="auto"/>
          <w:sz w:val="32"/>
          <w:szCs w:val="32"/>
          <w:lang w:val="zh-CN"/>
        </w:rPr>
        <w:t>年度机关运行经费初预算为</w:t>
      </w:r>
      <w:r>
        <w:rPr>
          <w:rFonts w:hint="eastAsia" w:ascii="仿宋_GB2312" w:eastAsia="仿宋_GB2312" w:cs="仿宋"/>
          <w:color w:val="auto"/>
          <w:sz w:val="32"/>
          <w:szCs w:val="32"/>
          <w:lang w:val="en-US" w:eastAsia="zh-CN"/>
        </w:rPr>
        <w:t>3.55</w:t>
      </w:r>
      <w:r>
        <w:rPr>
          <w:rFonts w:hint="eastAsia" w:ascii="仿宋_GB2312" w:eastAsia="仿宋_GB2312" w:cs="仿宋"/>
          <w:color w:val="auto"/>
          <w:sz w:val="32"/>
          <w:szCs w:val="32"/>
          <w:lang w:val="zh-CN"/>
        </w:rPr>
        <w:t>万元，支出决算为</w:t>
      </w:r>
      <w:r>
        <w:rPr>
          <w:rFonts w:hint="eastAsia" w:ascii="仿宋_GB2312" w:eastAsia="仿宋_GB2312" w:cs="仿宋"/>
          <w:color w:val="auto"/>
          <w:sz w:val="32"/>
          <w:szCs w:val="32"/>
          <w:lang w:val="en-US" w:eastAsia="zh-CN"/>
        </w:rPr>
        <w:t>3.75</w:t>
      </w:r>
      <w:r>
        <w:rPr>
          <w:rFonts w:hint="eastAsia" w:ascii="仿宋_GB2312" w:eastAsia="仿宋_GB2312" w:cs="仿宋"/>
          <w:color w:val="auto"/>
          <w:sz w:val="32"/>
          <w:szCs w:val="32"/>
          <w:lang w:val="zh-CN"/>
        </w:rPr>
        <w:t>万元，完成年初预算的</w:t>
      </w:r>
      <w:r>
        <w:rPr>
          <w:rFonts w:hint="eastAsia" w:ascii="仿宋_GB2312" w:eastAsia="仿宋_GB2312" w:cs="仿宋"/>
          <w:color w:val="auto"/>
          <w:sz w:val="32"/>
          <w:szCs w:val="32"/>
          <w:lang w:val="en-US" w:eastAsia="zh-CN"/>
        </w:rPr>
        <w:t>105.63</w:t>
      </w:r>
      <w:r>
        <w:rPr>
          <w:rFonts w:hint="eastAsia" w:ascii="仿宋_GB2312" w:eastAsia="仿宋_GB2312" w:cs="仿宋"/>
          <w:color w:val="auto"/>
          <w:sz w:val="32"/>
          <w:szCs w:val="32"/>
          <w:lang w:val="zh-CN"/>
        </w:rPr>
        <w:t>%。决算数与年初预算数存在差异的主要原因是公用经费</w:t>
      </w:r>
      <w:r>
        <w:rPr>
          <w:rFonts w:hint="eastAsia" w:ascii="仿宋_GB2312" w:eastAsia="仿宋_GB2312" w:cs="仿宋"/>
          <w:color w:val="auto"/>
          <w:sz w:val="32"/>
          <w:szCs w:val="32"/>
          <w:lang w:val="en-US" w:eastAsia="zh-CN"/>
        </w:rPr>
        <w:t>调整</w:t>
      </w:r>
      <w:r>
        <w:rPr>
          <w:rFonts w:hint="eastAsia" w:ascii="仿宋_GB2312" w:eastAsia="仿宋_GB2312" w:cs="仿宋"/>
          <w:color w:val="auto"/>
          <w:sz w:val="32"/>
          <w:szCs w:val="32"/>
          <w:lang w:val="zh-CN"/>
        </w:rPr>
        <w:t>。</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十一、政府采购支出情况说明</w:t>
      </w:r>
    </w:p>
    <w:p>
      <w:pPr>
        <w:shd w:val="solid" w:color="FFFFFF" w:fill="auto"/>
        <w:autoSpaceDN w:val="0"/>
        <w:spacing w:line="375" w:lineRule="atLeas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val="en-US" w:eastAsia="zh-CN"/>
        </w:rPr>
        <w:t>2020</w:t>
      </w:r>
      <w:r>
        <w:rPr>
          <w:rFonts w:hint="eastAsia" w:ascii="仿宋_GB2312" w:hAnsi="仿宋_GB2312" w:eastAsia="仿宋_GB2312" w:cs="仿宋_GB2312"/>
          <w:b w:val="0"/>
          <w:bCs w:val="0"/>
          <w:color w:val="auto"/>
          <w:sz w:val="32"/>
          <w:szCs w:val="32"/>
          <w:shd w:val="clear" w:color="auto" w:fill="FFFFFF"/>
        </w:rPr>
        <w:t>年政府采购支出总计</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shd w:val="clear" w:color="auto" w:fill="FFFFFF"/>
        </w:rPr>
        <w:t>万元，其中政府采购货物支出</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shd w:val="clear" w:color="auto" w:fill="FFFFFF"/>
        </w:rPr>
        <w:t>万元，政府采购工程支出</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shd w:val="clear" w:color="auto" w:fill="FFFFFF"/>
        </w:rPr>
        <w:t>万元，政府采购服务支出</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shd w:val="clear" w:color="auto" w:fill="FFFFFF"/>
        </w:rPr>
        <w:t>万元。</w:t>
      </w:r>
    </w:p>
    <w:p>
      <w:pPr>
        <w:rPr>
          <w:rFonts w:hint="eastAsia" w:ascii="仿宋_GB2312" w:eastAsia="仿宋_GB2312" w:cs="仿宋"/>
          <w:sz w:val="32"/>
          <w:szCs w:val="32"/>
          <w:lang w:val="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十二、国有资产占用情况说明</w:t>
      </w:r>
    </w:p>
    <w:p>
      <w:pPr>
        <w:rPr>
          <w:rFonts w:hint="eastAsia" w:ascii="宋体" w:hAnsi="宋体" w:eastAsia="宋体"/>
          <w:sz w:val="18"/>
          <w:lang w:val="zh-CN"/>
        </w:rPr>
      </w:pPr>
      <w:r>
        <w:rPr>
          <w:rFonts w:hint="eastAsia" w:ascii="仿宋_GB2312" w:eastAsia="仿宋_GB2312" w:cs="仿宋"/>
          <w:sz w:val="32"/>
          <w:szCs w:val="32"/>
          <w:lang w:val="en-US" w:eastAsia="zh-CN"/>
        </w:rPr>
        <w:t xml:space="preserve">   2020</w:t>
      </w:r>
      <w:r>
        <w:rPr>
          <w:rFonts w:hint="eastAsia" w:ascii="仿宋_GB2312" w:eastAsia="仿宋_GB2312" w:cs="仿宋"/>
          <w:sz w:val="32"/>
          <w:szCs w:val="32"/>
          <w:lang w:val="zh-CN"/>
        </w:rPr>
        <w:t>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rPr>
          <w:rFonts w:hint="eastAsia" w:ascii="仿宋_GB2312" w:eastAsia="仿宋_GB2312" w:cs="仿宋"/>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eastAsia="仿宋_GB2312" w:cs="黑体"/>
          <w:sz w:val="32"/>
          <w:szCs w:val="32"/>
          <w:lang w:val="en-US" w:eastAsia="zh-CN"/>
        </w:rPr>
        <w:t xml:space="preserve">   </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UTQ0QAA&#10;AAMBAAAPAAAAAAAAAAEAIAAAACIAAABkcnMvZG93bnJldi54bWxQSwECFAAUAAAACACHTuJAoyKB&#10;QbMBAABJAwAADgAAAAAAAAABACAAAAAgAQAAZHJzL2Uyb0RvYy54bWxQSwUGAAAAAAYABgBZAQAA&#10;R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NHyQu&#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028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UTQ0QAA&#10;AAMBAAAPAAAAAAAAAAEAIAAAACIAAABkcnMvZG93bnJldi54bWxQSwECFAAUAAAACACHTuJAmDtp&#10;rbMBAABJAwAADgAAAAAAAAABACAAAAAgAQAAZHJzL2Uyb0RvYy54bWxQSwUGAAAAAAYABgBZAQAA&#10;R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3018CCC"/>
    <w:multiLevelType w:val="singleLevel"/>
    <w:tmpl w:val="03018CCC"/>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D5A3D"/>
    <w:rsid w:val="019D5A3D"/>
    <w:rsid w:val="0F460B11"/>
    <w:rsid w:val="19DB110E"/>
    <w:rsid w:val="1EFB53DA"/>
    <w:rsid w:val="20B61793"/>
    <w:rsid w:val="2DF7194C"/>
    <w:rsid w:val="39657112"/>
    <w:rsid w:val="5B61776E"/>
    <w:rsid w:val="5E07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2021-09-13T08:18:00Z</dcterms:created>
  <dc:creator>admin</dc:creator>
  <cp:lastModifiedBy>Administrator</cp:lastModifiedBy>
  <dcterms:modified xsi:type="dcterms:W3CDTF">2021-09-24T08:58:06Z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