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ind w:firstLine="640"/>
        <w:rPr>
          <w:rFonts w:hint="eastAsia" w:ascii="仿宋_GB2312" w:hAnsi="仿宋_GB2312" w:eastAsia="仿宋_GB2312" w:cs="仿宋_GB2312"/>
          <w:b w:val="0"/>
          <w:bCs w:val="0"/>
          <w:sz w:val="32"/>
          <w:szCs w:val="32"/>
        </w:rPr>
      </w:pPr>
    </w:p>
    <w:p>
      <w:pPr>
        <w:adjustRightInd w:val="0"/>
        <w:snapToGrid w:val="0"/>
        <w:jc w:val="center"/>
        <w:rPr>
          <w:rFonts w:hint="eastAsia" w:ascii="宋体" w:hAnsi="宋体" w:eastAsia="宋体" w:cs="宋体"/>
          <w:b w:val="0"/>
          <w:bCs w:val="0"/>
          <w:sz w:val="44"/>
          <w:szCs w:val="44"/>
        </w:rPr>
      </w:pPr>
      <w:r>
        <w:rPr>
          <w:rFonts w:hint="eastAsia" w:ascii="仿宋_GB2312" w:hAnsi="仿宋_GB2312" w:eastAsia="仿宋_GB2312" w:cs="仿宋_GB2312"/>
          <w:b w:val="0"/>
          <w:bCs w:val="0"/>
          <w:sz w:val="32"/>
          <w:szCs w:val="32"/>
          <w:lang w:val="en-US" w:eastAsia="zh-CN"/>
        </w:rPr>
        <w:t xml:space="preserve">   </w:t>
      </w:r>
      <w:r>
        <w:rPr>
          <w:rFonts w:hint="eastAsia" w:ascii="宋体" w:hAnsi="宋体" w:eastAsia="宋体" w:cs="宋体"/>
          <w:b w:val="0"/>
          <w:bCs w:val="0"/>
          <w:sz w:val="44"/>
          <w:szCs w:val="44"/>
          <w:lang w:val="en-US" w:eastAsia="zh-CN"/>
        </w:rPr>
        <w:t xml:space="preserve">  洛阳市老城区文化局</w:t>
      </w:r>
      <w:r>
        <w:rPr>
          <w:rFonts w:hint="eastAsia" w:ascii="宋体" w:hAnsi="宋体" w:eastAsia="宋体" w:cs="宋体"/>
          <w:b w:val="0"/>
          <w:bCs w:val="0"/>
          <w:sz w:val="44"/>
          <w:szCs w:val="44"/>
        </w:rPr>
        <w:t>201</w:t>
      </w:r>
      <w:r>
        <w:rPr>
          <w:rFonts w:hint="eastAsia" w:ascii="宋体" w:hAnsi="宋体" w:eastAsia="宋体" w:cs="宋体"/>
          <w:b w:val="0"/>
          <w:bCs w:val="0"/>
          <w:sz w:val="44"/>
          <w:szCs w:val="44"/>
          <w:lang w:val="en-US" w:eastAsia="zh-CN"/>
        </w:rPr>
        <w:t>7</w:t>
      </w:r>
      <w:r>
        <w:rPr>
          <w:rFonts w:hint="eastAsia" w:ascii="宋体" w:hAnsi="宋体" w:eastAsia="宋体" w:cs="宋体"/>
          <w:b w:val="0"/>
          <w:bCs w:val="0"/>
          <w:sz w:val="44"/>
          <w:szCs w:val="44"/>
        </w:rPr>
        <w:t>年度</w:t>
      </w:r>
      <w:r>
        <w:rPr>
          <w:rFonts w:hint="eastAsia" w:ascii="宋体" w:hAnsi="宋体" w:eastAsia="宋体" w:cs="宋体"/>
          <w:b w:val="0"/>
          <w:bCs w:val="0"/>
          <w:sz w:val="44"/>
          <w:szCs w:val="44"/>
          <w:lang w:val="en-US" w:eastAsia="zh-CN"/>
        </w:rPr>
        <w:t>部门</w:t>
      </w:r>
      <w:r>
        <w:rPr>
          <w:rFonts w:hint="eastAsia" w:ascii="宋体" w:hAnsi="宋体" w:eastAsia="宋体" w:cs="宋体"/>
          <w:b w:val="0"/>
          <w:bCs w:val="0"/>
          <w:sz w:val="44"/>
          <w:szCs w:val="44"/>
        </w:rPr>
        <w:t>决算</w:t>
      </w:r>
      <w:r>
        <w:rPr>
          <w:rFonts w:hint="eastAsia" w:ascii="宋体" w:hAnsi="宋体" w:eastAsia="宋体" w:cs="宋体"/>
          <w:b w:val="0"/>
          <w:bCs w:val="0"/>
          <w:sz w:val="44"/>
          <w:szCs w:val="44"/>
          <w:lang w:val="en-US" w:eastAsia="zh-CN"/>
        </w:rPr>
        <w:t>情况</w:t>
      </w:r>
      <w:r>
        <w:rPr>
          <w:rFonts w:hint="eastAsia" w:ascii="宋体" w:hAnsi="宋体" w:eastAsia="宋体" w:cs="宋体"/>
          <w:b w:val="0"/>
          <w:bCs w:val="0"/>
          <w:sz w:val="44"/>
          <w:szCs w:val="44"/>
        </w:rPr>
        <w:t>说明</w:t>
      </w:r>
    </w:p>
    <w:p>
      <w:pPr>
        <w:adjustRightInd w:val="0"/>
        <w:snapToGrid w:val="0"/>
        <w:spacing w:line="360" w:lineRule="auto"/>
        <w:ind w:firstLine="640"/>
        <w:jc w:val="center"/>
        <w:rPr>
          <w:rFonts w:hint="eastAsia" w:ascii="仿宋_GB2312" w:hAnsi="仿宋_GB2312" w:eastAsia="仿宋_GB2312" w:cs="仿宋_GB2312"/>
          <w:b w:val="0"/>
          <w:bCs w:val="0"/>
          <w:sz w:val="32"/>
          <w:szCs w:val="32"/>
        </w:rPr>
      </w:pPr>
    </w:p>
    <w:p>
      <w:pPr>
        <w:adjustRightInd w:val="0"/>
        <w:snapToGrid w:val="0"/>
        <w:spacing w:line="360" w:lineRule="auto"/>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部门概况</w:t>
      </w:r>
    </w:p>
    <w:p>
      <w:pPr>
        <w:adjustRightInd w:val="0"/>
        <w:snapToGrid w:val="0"/>
        <w:spacing w:line="360" w:lineRule="auto"/>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洛阳市老城区文化局是主管全区文化、新闻出版事业的区政府工作部门，下设事业机构：1、老城区文化馆、2、老城区文化市场综合执法大队、3、老城区图书馆。201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年末干部职工</w:t>
      </w: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人，离退休</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人。区文化馆和区图书馆位于老城区文化体育中心（定鼎北路与魏紫路道北五路交叉口向西400米）</w:t>
      </w:r>
      <w:r>
        <w:rPr>
          <w:rFonts w:hint="eastAsia" w:ascii="仿宋_GB2312" w:hAnsi="仿宋_GB2312" w:eastAsia="仿宋_GB2312" w:cs="仿宋_GB2312"/>
          <w:b w:val="0"/>
          <w:bCs w:val="0"/>
          <w:sz w:val="32"/>
          <w:szCs w:val="32"/>
          <w:lang w:eastAsia="zh-CN"/>
        </w:rPr>
        <w:t>。</w:t>
      </w:r>
    </w:p>
    <w:p>
      <w:pPr>
        <w:adjustRightInd w:val="0"/>
        <w:snapToGrid w:val="0"/>
        <w:spacing w:line="360" w:lineRule="auto"/>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决算</w:t>
      </w:r>
      <w:r>
        <w:rPr>
          <w:rFonts w:hint="eastAsia" w:ascii="黑体" w:hAnsi="黑体" w:eastAsia="黑体" w:cs="黑体"/>
          <w:b w:val="0"/>
          <w:bCs w:val="0"/>
          <w:sz w:val="32"/>
          <w:szCs w:val="32"/>
        </w:rPr>
        <w:t>说明</w:t>
      </w:r>
    </w:p>
    <w:p>
      <w:pPr>
        <w:adjustRightInd w:val="0"/>
        <w:snapToGrid w:val="0"/>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（一）收入支出决算总体情况</w:t>
      </w:r>
    </w:p>
    <w:p>
      <w:pPr>
        <w:adjustRightInd w:val="0"/>
        <w:snapToGrid w:val="0"/>
        <w:spacing w:line="360" w:lineRule="auto"/>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年度收入总计 </w:t>
      </w:r>
      <w:r>
        <w:rPr>
          <w:rFonts w:hint="eastAsia" w:ascii="仿宋_GB2312" w:hAnsi="仿宋_GB2312" w:eastAsia="仿宋_GB2312" w:cs="仿宋_GB2312"/>
          <w:b w:val="0"/>
          <w:bCs w:val="0"/>
          <w:sz w:val="32"/>
          <w:szCs w:val="32"/>
          <w:lang w:val="en-US" w:eastAsia="zh-CN"/>
        </w:rPr>
        <w:t>661.27</w:t>
      </w:r>
      <w:r>
        <w:rPr>
          <w:rFonts w:hint="eastAsia" w:ascii="仿宋_GB2312" w:hAnsi="仿宋_GB2312" w:eastAsia="仿宋_GB2312" w:cs="仿宋_GB2312"/>
          <w:b w:val="0"/>
          <w:bCs w:val="0"/>
          <w:sz w:val="32"/>
          <w:szCs w:val="32"/>
        </w:rPr>
        <w:t>万元，其中：财政拨款收入</w:t>
      </w:r>
      <w:r>
        <w:rPr>
          <w:rFonts w:hint="eastAsia" w:ascii="仿宋_GB2312" w:hAnsi="仿宋_GB2312" w:eastAsia="仿宋_GB2312" w:cs="仿宋_GB2312"/>
          <w:b w:val="0"/>
          <w:bCs w:val="0"/>
          <w:sz w:val="32"/>
          <w:szCs w:val="32"/>
          <w:lang w:val="en-US" w:eastAsia="zh-CN"/>
        </w:rPr>
        <w:t>661.27</w:t>
      </w:r>
      <w:r>
        <w:rPr>
          <w:rFonts w:hint="eastAsia" w:ascii="仿宋_GB2312" w:hAnsi="仿宋_GB2312" w:eastAsia="仿宋_GB2312" w:cs="仿宋_GB2312"/>
          <w:b w:val="0"/>
          <w:bCs w:val="0"/>
          <w:sz w:val="32"/>
          <w:szCs w:val="32"/>
        </w:rPr>
        <w:t xml:space="preserve">  万元</w:t>
      </w:r>
      <w:r>
        <w:rPr>
          <w:rFonts w:hint="eastAsia" w:ascii="仿宋_GB2312" w:hAnsi="仿宋_GB2312" w:eastAsia="仿宋_GB2312" w:cs="仿宋_GB2312"/>
          <w:b w:val="0"/>
          <w:bCs w:val="0"/>
          <w:sz w:val="32"/>
          <w:szCs w:val="32"/>
          <w:lang w:val="en-US" w:eastAsia="zh-CN"/>
        </w:rPr>
        <w:t>。</w:t>
      </w:r>
    </w:p>
    <w:p>
      <w:pPr>
        <w:adjustRightInd w:val="0"/>
        <w:snapToGrid w:val="0"/>
        <w:spacing w:line="360" w:lineRule="auto"/>
        <w:ind w:firstLine="557" w:firstLineChars="19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年度支出总计 </w:t>
      </w:r>
      <w:r>
        <w:rPr>
          <w:rFonts w:hint="eastAsia" w:ascii="仿宋_GB2312" w:hAnsi="仿宋_GB2312" w:eastAsia="仿宋_GB2312" w:cs="仿宋_GB2312"/>
          <w:b w:val="0"/>
          <w:bCs w:val="0"/>
          <w:sz w:val="32"/>
          <w:szCs w:val="32"/>
          <w:lang w:val="en-US" w:eastAsia="zh-CN"/>
        </w:rPr>
        <w:t>708.89</w:t>
      </w:r>
      <w:r>
        <w:rPr>
          <w:rFonts w:hint="eastAsia" w:ascii="仿宋_GB2312" w:hAnsi="仿宋_GB2312" w:eastAsia="仿宋_GB2312" w:cs="仿宋_GB2312"/>
          <w:b w:val="0"/>
          <w:bCs w:val="0"/>
          <w:sz w:val="32"/>
          <w:szCs w:val="32"/>
        </w:rPr>
        <w:t xml:space="preserve">  万元，其中：</w:t>
      </w:r>
      <w:r>
        <w:rPr>
          <w:rFonts w:hint="eastAsia" w:ascii="仿宋_GB2312" w:hAnsi="仿宋_GB2312" w:eastAsia="仿宋_GB2312" w:cs="仿宋_GB2312"/>
          <w:b w:val="0"/>
          <w:bCs w:val="0"/>
          <w:sz w:val="32"/>
          <w:szCs w:val="32"/>
          <w:u w:val="none" w:color="auto"/>
          <w:lang w:eastAsia="zh-CN"/>
        </w:rPr>
        <w:t>文化体育与传媒支</w:t>
      </w:r>
      <w:r>
        <w:rPr>
          <w:rFonts w:hint="eastAsia" w:ascii="仿宋_GB2312" w:hAnsi="仿宋_GB2312" w:eastAsia="仿宋_GB2312" w:cs="仿宋_GB2312"/>
          <w:b w:val="0"/>
          <w:bCs w:val="0"/>
          <w:sz w:val="32"/>
          <w:szCs w:val="32"/>
          <w:u w:val="single" w:color="auto"/>
          <w:lang w:eastAsia="zh-CN"/>
        </w:rPr>
        <w:t>出</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652.7</w:t>
      </w:r>
      <w:r>
        <w:rPr>
          <w:rFonts w:hint="eastAsia" w:ascii="仿宋_GB2312" w:hAnsi="仿宋_GB2312" w:eastAsia="仿宋_GB2312" w:cs="仿宋_GB2312"/>
          <w:b w:val="0"/>
          <w:bCs w:val="0"/>
          <w:sz w:val="32"/>
          <w:szCs w:val="32"/>
        </w:rPr>
        <w:t xml:space="preserve"> 万元，</w:t>
      </w:r>
      <w:r>
        <w:rPr>
          <w:rFonts w:hint="eastAsia" w:ascii="仿宋_GB2312" w:hAnsi="仿宋_GB2312" w:eastAsia="仿宋_GB2312" w:cs="仿宋_GB2312"/>
          <w:b w:val="0"/>
          <w:bCs w:val="0"/>
          <w:sz w:val="32"/>
          <w:szCs w:val="32"/>
          <w:u w:val="none" w:color="auto"/>
          <w:lang w:eastAsia="zh-CN"/>
        </w:rPr>
        <w:t>一般公共服务支出</w:t>
      </w:r>
      <w:r>
        <w:rPr>
          <w:rFonts w:hint="eastAsia" w:ascii="仿宋_GB2312" w:hAnsi="仿宋_GB2312" w:eastAsia="仿宋_GB2312" w:cs="仿宋_GB2312"/>
          <w:b w:val="0"/>
          <w:bCs w:val="0"/>
          <w:sz w:val="32"/>
          <w:szCs w:val="32"/>
          <w:u w:val="none" w:color="auto"/>
        </w:rPr>
        <w:t xml:space="preserve"> </w:t>
      </w:r>
      <w:r>
        <w:rPr>
          <w:rFonts w:hint="eastAsia" w:ascii="仿宋_GB2312" w:hAnsi="仿宋_GB2312" w:eastAsia="仿宋_GB2312" w:cs="仿宋_GB2312"/>
          <w:b w:val="0"/>
          <w:bCs w:val="0"/>
          <w:sz w:val="32"/>
          <w:szCs w:val="32"/>
          <w:u w:val="none" w:color="auto"/>
          <w:lang w:val="en-US" w:eastAsia="zh-CN"/>
        </w:rPr>
        <w:t>0</w:t>
      </w:r>
      <w:r>
        <w:rPr>
          <w:rFonts w:hint="eastAsia" w:ascii="仿宋_GB2312" w:hAnsi="仿宋_GB2312" w:eastAsia="仿宋_GB2312" w:cs="仿宋_GB2312"/>
          <w:b w:val="0"/>
          <w:bCs w:val="0"/>
          <w:sz w:val="32"/>
          <w:szCs w:val="32"/>
        </w:rPr>
        <w:t xml:space="preserve"> 万元。</w:t>
      </w:r>
      <w:r>
        <w:rPr>
          <w:rFonts w:hint="eastAsia" w:ascii="仿宋_GB2312" w:hAnsi="仿宋_GB2312" w:eastAsia="仿宋_GB2312" w:cs="仿宋_GB2312"/>
          <w:b w:val="0"/>
          <w:bCs w:val="0"/>
          <w:sz w:val="32"/>
          <w:szCs w:val="32"/>
          <w:lang w:eastAsia="zh-CN"/>
        </w:rPr>
        <w:t>比</w:t>
      </w:r>
      <w:r>
        <w:rPr>
          <w:rFonts w:hint="eastAsia" w:ascii="仿宋_GB2312" w:hAnsi="仿宋_GB2312" w:eastAsia="仿宋_GB2312" w:cs="仿宋_GB2312"/>
          <w:b w:val="0"/>
          <w:bCs w:val="0"/>
          <w:sz w:val="32"/>
          <w:szCs w:val="32"/>
          <w:lang w:val="en-US" w:eastAsia="zh-CN"/>
        </w:rPr>
        <w:t>2016年增加了256.89万元，原因是新增加补缴养老金、社保缴纳，及创建文化示范区建设资金。</w:t>
      </w:r>
    </w:p>
    <w:p>
      <w:pPr>
        <w:adjustRightInd w:val="0"/>
        <w:snapToGrid w:val="0"/>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（二）决算收支增减变化情况说明</w:t>
      </w:r>
    </w:p>
    <w:p>
      <w:pPr>
        <w:adjustRightInd w:val="0"/>
        <w:snapToGrid w:val="0"/>
        <w:spacing w:line="360" w:lineRule="auto"/>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年度一般公共预算财政拨款支出决算为 </w:t>
      </w:r>
      <w:r>
        <w:rPr>
          <w:rFonts w:hint="eastAsia" w:ascii="仿宋_GB2312" w:hAnsi="仿宋_GB2312" w:eastAsia="仿宋_GB2312" w:cs="仿宋_GB2312"/>
          <w:b w:val="0"/>
          <w:bCs w:val="0"/>
          <w:sz w:val="32"/>
          <w:szCs w:val="32"/>
          <w:lang w:val="en-US" w:eastAsia="zh-CN"/>
        </w:rPr>
        <w:t>697.9</w:t>
      </w:r>
      <w:r>
        <w:rPr>
          <w:rFonts w:hint="eastAsia" w:ascii="仿宋_GB2312" w:hAnsi="仿宋_GB2312" w:eastAsia="仿宋_GB2312" w:cs="仿宋_GB2312"/>
          <w:b w:val="0"/>
          <w:bCs w:val="0"/>
          <w:sz w:val="32"/>
          <w:szCs w:val="32"/>
        </w:rPr>
        <w:t xml:space="preserve"> 万元，具体情况如下：</w:t>
      </w:r>
    </w:p>
    <w:p>
      <w:pPr>
        <w:numPr>
          <w:numId w:val="0"/>
        </w:numPr>
        <w:adjustRightInd w:val="0"/>
        <w:snapToGrid w:val="0"/>
        <w:spacing w:line="360" w:lineRule="auto"/>
        <w:ind w:firstLine="56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1、文化体育与传媒支出</w:t>
      </w:r>
      <w:r>
        <w:rPr>
          <w:rFonts w:hint="eastAsia" w:ascii="仿宋_GB2312" w:hAnsi="仿宋_GB2312" w:eastAsia="仿宋_GB2312" w:cs="仿宋_GB2312"/>
          <w:b w:val="0"/>
          <w:bCs w:val="0"/>
          <w:sz w:val="32"/>
          <w:szCs w:val="32"/>
          <w:u w:val="none" w:color="auto"/>
          <w:lang w:val="en-US" w:eastAsia="zh-CN"/>
        </w:rPr>
        <w:t>641.7</w:t>
      </w:r>
      <w:r>
        <w:rPr>
          <w:rFonts w:hint="eastAsia" w:ascii="仿宋_GB2312" w:hAnsi="仿宋_GB2312" w:eastAsia="仿宋_GB2312" w:cs="仿宋_GB2312"/>
          <w:b w:val="0"/>
          <w:bCs w:val="0"/>
          <w:sz w:val="32"/>
          <w:szCs w:val="32"/>
          <w:lang w:val="en-US" w:eastAsia="zh-CN"/>
        </w:rPr>
        <w:t>万元，其中文化支出 599.5 万元；其他文化体育与传媒支出42.2万元。主要文化馆、图书馆创建国家级文化示范区建设两馆达标设备购置、广场文化活动、舞台艺术送农民活动、农村文化建设、</w:t>
      </w:r>
      <w:r>
        <w:rPr>
          <w:rFonts w:hint="eastAsia" w:ascii="仿宋_GB2312" w:hAnsi="仿宋_GB2312" w:eastAsia="仿宋_GB2312" w:cs="仿宋_GB2312"/>
          <w:b w:val="0"/>
          <w:bCs w:val="0"/>
          <w:sz w:val="32"/>
          <w:szCs w:val="32"/>
          <w:lang w:eastAsia="zh-CN"/>
        </w:rPr>
        <w:t>工资福利支出、离退休支出、社会保障</w:t>
      </w:r>
      <w:r>
        <w:rPr>
          <w:rFonts w:hint="eastAsia" w:ascii="仿宋_GB2312" w:hAnsi="仿宋_GB2312" w:eastAsia="仿宋_GB2312" w:cs="仿宋_GB2312"/>
          <w:b w:val="0"/>
          <w:bCs w:val="0"/>
          <w:sz w:val="32"/>
          <w:szCs w:val="32"/>
          <w:lang w:val="en-US" w:eastAsia="zh-CN"/>
        </w:rPr>
        <w:t>。</w:t>
      </w:r>
    </w:p>
    <w:p>
      <w:pPr>
        <w:numPr>
          <w:ilvl w:val="0"/>
          <w:numId w:val="1"/>
        </w:numPr>
        <w:adjustRightInd w:val="0"/>
        <w:snapToGrid w:val="0"/>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医疗卫生与计划生育支出23.3万元，主要用于医保缴费</w:t>
      </w:r>
    </w:p>
    <w:p>
      <w:pPr>
        <w:numPr>
          <w:ilvl w:val="0"/>
          <w:numId w:val="1"/>
        </w:numPr>
        <w:adjustRightInd w:val="0"/>
        <w:snapToGrid w:val="0"/>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住房保障支出32.9万元，其中住房改革支出32.9万元，主要用于住房公积金缴费。</w:t>
      </w:r>
    </w:p>
    <w:p>
      <w:pPr>
        <w:widowControl w:val="0"/>
        <w:numPr>
          <w:numId w:val="0"/>
        </w:numPr>
        <w:wordWrap/>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2017年度一般公共预算财政拨款基本支出决算为655.7万元，具体情况如下：</w:t>
      </w:r>
    </w:p>
    <w:p>
      <w:pPr>
        <w:widowControl w:val="0"/>
        <w:numPr>
          <w:numId w:val="0"/>
        </w:numPr>
        <w:wordWrap/>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工资福利支出：393.9万元，其中基本工资98.6万元，津贴补贴39.4万元，奖金20.6万元，其他社会保障缴费27.1万元，绩效工资63.6万元，养老保险缴费72.7万元，职业年金缴费15万元，其他工资福利支出56.8万元。</w:t>
      </w:r>
    </w:p>
    <w:p>
      <w:pPr>
        <w:widowControl w:val="0"/>
        <w:numPr>
          <w:numId w:val="0"/>
        </w:numPr>
        <w:wordWrap/>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对个人和家庭的补助125万元，其中离休费8.6万元，退休费6万元，抚血金0.4万元，生活补助0.6，医疗费23.3万元，住房公积金71.9万元，采暖补贴6.8万元，其他对个人和家庭的补助支出7.4万元，人员经费合计519万元。</w:t>
      </w:r>
    </w:p>
    <w:p>
      <w:pPr>
        <w:widowControl w:val="0"/>
        <w:numPr>
          <w:numId w:val="0"/>
        </w:numPr>
        <w:wordWrap/>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商品和服务支出136.7万元，其中办公费40万元，印刷费37.2万元，手续费16.3万元，邮电费1.7万元，差旅费0.6万元，工会经费5.3万元，福利费3.9万元，公车运行维护费1.1万元，其他交通费用0.3万元。其他商品和服务支出30.3万元。</w:t>
      </w:r>
    </w:p>
    <w:p>
      <w:pPr>
        <w:adjustRightInd w:val="0"/>
        <w:snapToGrid w:val="0"/>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（三）一般公共预算财政拨款“三公”经费支出情况</w:t>
      </w:r>
    </w:p>
    <w:p>
      <w:pPr>
        <w:adjustRightInd w:val="0"/>
        <w:snapToGrid w:val="0"/>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年度“三公”经费财政拨款支出数为</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比</w:t>
      </w:r>
      <w:r>
        <w:rPr>
          <w:rFonts w:hint="eastAsia" w:ascii="仿宋_GB2312" w:hAnsi="仿宋_GB2312" w:eastAsia="仿宋_GB2312" w:cs="仿宋_GB2312"/>
          <w:b w:val="0"/>
          <w:bCs w:val="0"/>
          <w:sz w:val="32"/>
          <w:szCs w:val="32"/>
          <w:lang w:val="en-US" w:eastAsia="zh-CN"/>
        </w:rPr>
        <w:t>2016年增加了0.4万元，原因为公车增加1辆公务用车.</w:t>
      </w:r>
    </w:p>
    <w:p>
      <w:pPr>
        <w:adjustRightInd w:val="0"/>
        <w:snapToGrid w:val="0"/>
        <w:spacing w:line="360" w:lineRule="auto"/>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因公出国（境）费</w:t>
      </w:r>
      <w:r>
        <w:rPr>
          <w:rFonts w:hint="eastAsia" w:ascii="仿宋_GB2312" w:hAnsi="仿宋_GB2312" w:eastAsia="仿宋_GB2312" w:cs="仿宋_GB2312"/>
          <w:b w:val="0"/>
          <w:bCs w:val="0"/>
          <w:sz w:val="32"/>
          <w:szCs w:val="32"/>
          <w:lang w:eastAsia="zh-CN"/>
        </w:rPr>
        <w:t>年初预算</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万元。包括单位工作人员公务出国（境）的差旅费、伙食补助费、杂费、培训费等支出。</w:t>
      </w:r>
    </w:p>
    <w:p>
      <w:pPr>
        <w:adjustRightInd w:val="0"/>
        <w:snapToGrid w:val="0"/>
        <w:spacing w:line="360" w:lineRule="auto"/>
        <w:ind w:left="160" w:leftChars="76" w:firstLine="520" w:firstLineChars="186"/>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年使用财政拨款安排本单位出国（境）团组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个、参加其他单位组织的出国（境）团组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个，全年因公出国（境）团组共计</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个，累计</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人次。</w:t>
      </w:r>
    </w:p>
    <w:p>
      <w:pPr>
        <w:adjustRightInd w:val="0"/>
        <w:snapToGrid w:val="0"/>
        <w:spacing w:line="360" w:lineRule="auto"/>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公务用车购置及运行维护费</w:t>
      </w:r>
      <w:r>
        <w:rPr>
          <w:rFonts w:hint="eastAsia" w:ascii="仿宋_GB2312" w:hAnsi="仿宋_GB2312" w:eastAsia="仿宋_GB2312" w:cs="仿宋_GB2312"/>
          <w:b w:val="0"/>
          <w:bCs w:val="0"/>
          <w:sz w:val="32"/>
          <w:szCs w:val="32"/>
          <w:lang w:eastAsia="zh-CN"/>
        </w:rPr>
        <w:t>年初预算</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万元。包括单位公务用车购置费及燃料费、维修费、过路过桥费、保险费等支出。其中：</w:t>
      </w:r>
    </w:p>
    <w:p>
      <w:pPr>
        <w:adjustRightInd w:val="0"/>
        <w:snapToGrid w:val="0"/>
        <w:spacing w:line="360" w:lineRule="auto"/>
        <w:ind w:firstLine="64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公务用车购置费支出</w:t>
      </w:r>
      <w:r>
        <w:rPr>
          <w:rFonts w:hint="eastAsia" w:ascii="仿宋_GB2312" w:hAnsi="仿宋_GB2312" w:eastAsia="仿宋_GB2312" w:cs="仿宋_GB2312"/>
          <w:b w:val="0"/>
          <w:bCs w:val="0"/>
          <w:sz w:val="32"/>
          <w:szCs w:val="32"/>
          <w:lang w:eastAsia="zh-CN"/>
        </w:rPr>
        <w:t>年初预算</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年使用财政拨款购置公务用车</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辆</w:t>
      </w:r>
      <w:r>
        <w:rPr>
          <w:rFonts w:hint="eastAsia" w:ascii="仿宋_GB2312" w:hAnsi="仿宋_GB2312" w:eastAsia="仿宋_GB2312" w:cs="仿宋_GB2312"/>
          <w:b w:val="0"/>
          <w:bCs w:val="0"/>
          <w:sz w:val="32"/>
          <w:szCs w:val="32"/>
          <w:lang w:eastAsia="zh-CN"/>
        </w:rPr>
        <w:t>。</w:t>
      </w:r>
    </w:p>
    <w:p>
      <w:pPr>
        <w:adjustRightInd w:val="0"/>
        <w:snapToGrid w:val="0"/>
        <w:spacing w:line="360" w:lineRule="auto"/>
        <w:ind w:firstLine="515" w:firstLineChars="184"/>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公务用车运行维护费</w:t>
      </w:r>
      <w:r>
        <w:rPr>
          <w:rFonts w:hint="eastAsia" w:ascii="仿宋_GB2312" w:hAnsi="仿宋_GB2312" w:eastAsia="仿宋_GB2312" w:cs="仿宋_GB2312"/>
          <w:b w:val="0"/>
          <w:bCs w:val="0"/>
          <w:sz w:val="32"/>
          <w:szCs w:val="32"/>
          <w:lang w:eastAsia="zh-CN"/>
        </w:rPr>
        <w:t>年初预算</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万元。201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年财政拨款开支运行维护费的公务用车保有量为</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辆。</w:t>
      </w:r>
    </w:p>
    <w:p>
      <w:pPr>
        <w:pStyle w:val="2"/>
        <w:kinsoku w:val="0"/>
        <w:overflowPunct w:val="0"/>
        <w:snapToGrid w:val="0"/>
        <w:spacing w:line="360" w:lineRule="auto"/>
        <w:ind w:left="0" w:firstLine="556"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公务接待费</w:t>
      </w:r>
      <w:r>
        <w:rPr>
          <w:rFonts w:hint="eastAsia" w:ascii="仿宋_GB2312" w:hAnsi="仿宋_GB2312" w:eastAsia="仿宋_GB2312" w:cs="仿宋_GB2312"/>
          <w:b w:val="0"/>
          <w:bCs w:val="0"/>
          <w:sz w:val="32"/>
          <w:szCs w:val="32"/>
          <w:lang w:eastAsia="zh-CN"/>
        </w:rPr>
        <w:t>年初预算</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hAnsi="仿宋_GB2312"/>
          <w:sz w:val="28"/>
          <w:szCs w:val="28"/>
        </w:rPr>
        <w:t>，公务接待批次0次，每次接待人数0人。</w:t>
      </w:r>
      <w:bookmarkStart w:id="0" w:name="_GoBack"/>
      <w:bookmarkEnd w:id="0"/>
      <w:r>
        <w:rPr>
          <w:rFonts w:hint="eastAsia" w:ascii="仿宋_GB2312" w:hAnsi="仿宋_GB2312" w:eastAsia="仿宋_GB2312" w:cs="仿宋_GB2312"/>
          <w:b w:val="0"/>
          <w:bCs w:val="0"/>
          <w:sz w:val="32"/>
          <w:szCs w:val="32"/>
        </w:rPr>
        <w:t>包括单位按规定开支的各类公务接待（含外宾接待）支出。其中：</w:t>
      </w:r>
    </w:p>
    <w:p>
      <w:pPr>
        <w:adjustRightInd w:val="0"/>
        <w:snapToGrid w:val="0"/>
        <w:spacing w:line="360" w:lineRule="auto"/>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国内公务接待支出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p>
    <w:p>
      <w:pPr>
        <w:numPr>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lang w:eastAsia="zh-CN"/>
        </w:rPr>
        <w:t>政府采购支出说明：</w:t>
      </w:r>
    </w:p>
    <w:p>
      <w:pPr>
        <w:widowControl w:val="0"/>
        <w:numPr>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2017年政府采购支出  0 万元，其中政府采购货物支出  0 万元，政府采购工程支出 0 万元，政府采购服务 0 万元。</w:t>
      </w:r>
    </w:p>
    <w:p>
      <w:pPr>
        <w:widowControl w:val="0"/>
        <w:numPr>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（五）机关运行经费支出说明：</w:t>
      </w:r>
    </w:p>
    <w:p>
      <w:pPr>
        <w:widowControl w:val="0"/>
        <w:numPr>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2017年机关运行经费支出 136.7 万元，比2016年增加 62.7 万元，增加84.6 %，主要原因是：</w:t>
      </w:r>
    </w:p>
    <w:p>
      <w:pPr>
        <w:widowControl w:val="0"/>
        <w:numPr>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1.区文化馆、图书馆为公众开展免费开放服务支出比例增长。</w:t>
      </w:r>
    </w:p>
    <w:p>
      <w:pPr>
        <w:widowControl w:val="0"/>
        <w:numPr>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2.创建文化示范区支出比例增长。</w:t>
      </w:r>
    </w:p>
    <w:p>
      <w:pPr>
        <w:adjustRightInd w:val="0"/>
        <w:snapToGrid w:val="0"/>
        <w:spacing w:line="360" w:lineRule="auto"/>
        <w:ind w:firstLine="56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国有资产占用情况</w:t>
      </w:r>
      <w:r>
        <w:rPr>
          <w:rFonts w:hint="eastAsia" w:ascii="仿宋_GB2312" w:hAnsi="仿宋_GB2312" w:eastAsia="仿宋_GB2312" w:cs="仿宋_GB2312"/>
          <w:b w:val="0"/>
          <w:bCs w:val="0"/>
          <w:sz w:val="32"/>
          <w:szCs w:val="32"/>
        </w:rPr>
        <w:t>说明</w:t>
      </w:r>
    </w:p>
    <w:p>
      <w:pPr>
        <w:adjustRightInd w:val="0"/>
        <w:snapToGrid w:val="0"/>
        <w:spacing w:line="360" w:lineRule="auto"/>
        <w:ind w:firstLine="640"/>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截至201</w:t>
      </w:r>
      <w:r>
        <w:rPr>
          <w:rFonts w:hint="eastAsia" w:ascii="仿宋_GB2312" w:hAnsi="仿宋_GB2312" w:eastAsia="仿宋_GB2312" w:cs="仿宋_GB2312"/>
          <w:b w:val="0"/>
          <w:bCs w:val="0"/>
          <w:color w:val="333333"/>
          <w:sz w:val="32"/>
          <w:szCs w:val="32"/>
          <w:shd w:val="clear" w:color="auto" w:fill="FFFFFF"/>
          <w:lang w:val="en-US" w:eastAsia="zh-CN"/>
        </w:rPr>
        <w:t>7</w:t>
      </w:r>
      <w:r>
        <w:rPr>
          <w:rFonts w:hint="eastAsia" w:ascii="仿宋_GB2312" w:hAnsi="仿宋_GB2312" w:eastAsia="仿宋_GB2312" w:cs="仿宋_GB2312"/>
          <w:b w:val="0"/>
          <w:bCs w:val="0"/>
          <w:color w:val="333333"/>
          <w:sz w:val="32"/>
          <w:szCs w:val="32"/>
          <w:shd w:val="clear" w:color="auto" w:fill="FFFFFF"/>
        </w:rPr>
        <w:t>年12月31日，本</w:t>
      </w:r>
      <w:r>
        <w:rPr>
          <w:rFonts w:hint="eastAsia" w:ascii="仿宋_GB2312" w:hAnsi="仿宋_GB2312" w:eastAsia="仿宋_GB2312" w:cs="仿宋_GB2312"/>
          <w:b w:val="0"/>
          <w:bCs w:val="0"/>
          <w:color w:val="333333"/>
          <w:sz w:val="32"/>
          <w:szCs w:val="32"/>
          <w:shd w:val="clear" w:color="auto" w:fill="FFFFFF"/>
          <w:lang w:eastAsia="zh-CN"/>
        </w:rPr>
        <w:t>单位</w:t>
      </w:r>
      <w:r>
        <w:rPr>
          <w:rFonts w:hint="eastAsia" w:ascii="仿宋_GB2312" w:hAnsi="仿宋_GB2312" w:eastAsia="仿宋_GB2312" w:cs="仿宋_GB2312"/>
          <w:b w:val="0"/>
          <w:bCs w:val="0"/>
          <w:color w:val="333333"/>
          <w:sz w:val="32"/>
          <w:szCs w:val="32"/>
          <w:shd w:val="clear" w:color="auto" w:fill="FFFFFF"/>
        </w:rPr>
        <w:t>共有单价50万元以上通用设备</w:t>
      </w:r>
      <w:r>
        <w:rPr>
          <w:rFonts w:hint="eastAsia" w:ascii="仿宋_GB2312" w:hAnsi="仿宋_GB2312" w:eastAsia="仿宋_GB2312" w:cs="仿宋_GB2312"/>
          <w:b w:val="0"/>
          <w:bCs w:val="0"/>
          <w:color w:val="333333"/>
          <w:sz w:val="32"/>
          <w:szCs w:val="32"/>
          <w:shd w:val="clear" w:color="auto" w:fill="FFFFFF"/>
          <w:lang w:val="en-US" w:eastAsia="zh-CN"/>
        </w:rPr>
        <w:t>0</w:t>
      </w:r>
      <w:r>
        <w:rPr>
          <w:rFonts w:hint="eastAsia" w:ascii="仿宋_GB2312" w:hAnsi="仿宋_GB2312" w:eastAsia="仿宋_GB2312" w:cs="仿宋_GB2312"/>
          <w:b w:val="0"/>
          <w:bCs w:val="0"/>
          <w:color w:val="333333"/>
          <w:sz w:val="32"/>
          <w:szCs w:val="32"/>
          <w:shd w:val="clear" w:color="auto" w:fill="FFFFFF"/>
        </w:rPr>
        <w:t>台（套），单价100万元以上专用设备</w:t>
      </w:r>
      <w:r>
        <w:rPr>
          <w:rFonts w:hint="eastAsia" w:ascii="仿宋_GB2312" w:hAnsi="仿宋_GB2312" w:eastAsia="仿宋_GB2312" w:cs="仿宋_GB2312"/>
          <w:b w:val="0"/>
          <w:bCs w:val="0"/>
          <w:color w:val="333333"/>
          <w:sz w:val="32"/>
          <w:szCs w:val="32"/>
          <w:shd w:val="clear" w:color="auto" w:fill="FFFFFF"/>
          <w:lang w:val="en-US" w:eastAsia="zh-CN"/>
        </w:rPr>
        <w:t>0</w:t>
      </w:r>
      <w:r>
        <w:rPr>
          <w:rFonts w:hint="eastAsia" w:ascii="仿宋_GB2312" w:hAnsi="仿宋_GB2312" w:eastAsia="仿宋_GB2312" w:cs="仿宋_GB2312"/>
          <w:b w:val="0"/>
          <w:bCs w:val="0"/>
          <w:color w:val="333333"/>
          <w:sz w:val="32"/>
          <w:szCs w:val="32"/>
          <w:shd w:val="clear" w:color="auto" w:fill="FFFFFF"/>
        </w:rPr>
        <w:t>台（套）。</w:t>
      </w:r>
    </w:p>
    <w:p>
      <w:pPr>
        <w:numPr>
          <w:numId w:val="0"/>
        </w:numPr>
        <w:shd w:val="solid" w:color="FFFFFF" w:fill="auto"/>
        <w:autoSpaceDN w:val="0"/>
        <w:spacing w:line="375" w:lineRule="atLeast"/>
        <w:ind w:firstLine="640" w:firstLineChars="200"/>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（七）关于预算绩效情况说明</w:t>
      </w:r>
    </w:p>
    <w:p>
      <w:pPr>
        <w:numPr>
          <w:numId w:val="0"/>
        </w:numPr>
        <w:shd w:val="solid" w:color="FFFFFF" w:fill="auto"/>
        <w:autoSpaceDN w:val="0"/>
        <w:spacing w:line="375" w:lineRule="atLeast"/>
        <w:ind w:firstLine="640" w:firstLineChars="200"/>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1.绩效管理工作展开情况</w:t>
      </w:r>
    </w:p>
    <w:p>
      <w:pPr>
        <w:numPr>
          <w:numId w:val="0"/>
        </w:numPr>
        <w:shd w:val="solid" w:color="FFFFFF" w:fill="auto"/>
        <w:autoSpaceDN w:val="0"/>
        <w:spacing w:line="375" w:lineRule="atLeast"/>
        <w:ind w:firstLine="640" w:firstLineChars="200"/>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我单位未开展绩效管理工作。</w:t>
      </w:r>
    </w:p>
    <w:p>
      <w:pPr>
        <w:numPr>
          <w:numId w:val="0"/>
        </w:numPr>
        <w:shd w:val="solid" w:color="FFFFFF" w:fill="auto"/>
        <w:autoSpaceDN w:val="0"/>
        <w:spacing w:line="375" w:lineRule="atLeast"/>
        <w:ind w:firstLine="640" w:firstLineChars="200"/>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2.项目绩效自评结果</w:t>
      </w:r>
    </w:p>
    <w:p>
      <w:pPr>
        <w:numPr>
          <w:numId w:val="0"/>
        </w:numPr>
        <w:shd w:val="solid" w:color="FFFFFF" w:fill="auto"/>
        <w:autoSpaceDN w:val="0"/>
        <w:spacing w:line="375" w:lineRule="atLeast"/>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lang w:val="en-US" w:eastAsia="zh-CN"/>
        </w:rPr>
        <w:t xml:space="preserve">    我单位未开张项目绩效工作。</w:t>
      </w:r>
    </w:p>
    <w:p>
      <w:pPr>
        <w:adjustRightInd w:val="0"/>
        <w:snapToGrid w:val="0"/>
        <w:spacing w:line="360" w:lineRule="auto"/>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三、名词解释</w:t>
      </w:r>
    </w:p>
    <w:p>
      <w:pPr>
        <w:shd w:val="solid" w:color="FFFFFF" w:fill="auto"/>
        <w:autoSpaceDN w:val="0"/>
        <w:spacing w:line="375" w:lineRule="atLeast"/>
        <w:ind w:firstLine="560" w:firstLineChars="200"/>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1</w:t>
      </w:r>
      <w:r>
        <w:rPr>
          <w:rFonts w:hint="eastAsia" w:ascii="仿宋_GB2312" w:hAnsi="仿宋_GB2312" w:eastAsia="仿宋_GB2312" w:cs="仿宋_GB2312"/>
          <w:b w:val="0"/>
          <w:bCs w:val="0"/>
          <w:color w:val="333333"/>
          <w:sz w:val="32"/>
          <w:szCs w:val="32"/>
          <w:shd w:val="clear" w:color="auto" w:fill="FFFFFF"/>
          <w:lang w:val="en-US" w:eastAsia="zh-CN"/>
        </w:rPr>
        <w:t>.</w:t>
      </w:r>
      <w:r>
        <w:rPr>
          <w:rFonts w:hint="eastAsia" w:ascii="仿宋_GB2312" w:hAnsi="仿宋_GB2312" w:eastAsia="仿宋_GB2312" w:cs="仿宋_GB2312"/>
          <w:b w:val="0"/>
          <w:bCs w:val="0"/>
          <w:color w:val="333333"/>
          <w:sz w:val="32"/>
          <w:szCs w:val="32"/>
          <w:shd w:val="clear" w:color="auto" w:fill="FFFFFF"/>
        </w:rPr>
        <w:t>财政拨款收入：指单位本年度从本级财政部门取得的财政拨款。</w:t>
      </w:r>
    </w:p>
    <w:p>
      <w:pPr>
        <w:shd w:val="solid" w:color="FFFFFF" w:fill="auto"/>
        <w:autoSpaceDN w:val="0"/>
        <w:spacing w:line="375" w:lineRule="atLeast"/>
        <w:ind w:firstLine="560" w:firstLineChars="200"/>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2</w:t>
      </w:r>
      <w:r>
        <w:rPr>
          <w:rFonts w:hint="eastAsia" w:ascii="仿宋_GB2312" w:hAnsi="仿宋_GB2312" w:eastAsia="仿宋_GB2312" w:cs="仿宋_GB2312"/>
          <w:b w:val="0"/>
          <w:bCs w:val="0"/>
          <w:color w:val="333333"/>
          <w:sz w:val="32"/>
          <w:szCs w:val="32"/>
          <w:shd w:val="clear" w:color="auto" w:fill="FFFFFF"/>
          <w:lang w:val="en-US" w:eastAsia="zh-CN"/>
        </w:rPr>
        <w:t>.</w:t>
      </w:r>
      <w:r>
        <w:rPr>
          <w:rFonts w:hint="eastAsia" w:ascii="仿宋_GB2312" w:hAnsi="仿宋_GB2312" w:eastAsia="仿宋_GB2312" w:cs="仿宋_GB2312"/>
          <w:b w:val="0"/>
          <w:bCs w:val="0"/>
          <w:color w:val="333333"/>
          <w:sz w:val="32"/>
          <w:szCs w:val="32"/>
          <w:shd w:val="clear" w:color="auto" w:fill="FFFFFF"/>
        </w:rPr>
        <w:t>基本支出：是指为保障机构正常运转、完成日常工作任务所必需的开支，其内容包括人员经费和日常公用经费两部分。</w:t>
      </w:r>
    </w:p>
    <w:p>
      <w:pPr>
        <w:shd w:val="solid" w:color="FFFFFF" w:fill="auto"/>
        <w:autoSpaceDN w:val="0"/>
        <w:spacing w:line="375" w:lineRule="atLeast"/>
        <w:ind w:firstLine="560" w:firstLineChars="200"/>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w:t>
      </w:r>
      <w:r>
        <w:rPr>
          <w:rFonts w:hint="eastAsia" w:ascii="仿宋_GB2312" w:hAnsi="仿宋_GB2312" w:eastAsia="仿宋_GB2312" w:cs="仿宋_GB2312"/>
          <w:b w:val="0"/>
          <w:bCs w:val="0"/>
          <w:color w:val="333333"/>
          <w:sz w:val="32"/>
          <w:szCs w:val="32"/>
          <w:shd w:val="clear" w:color="auto" w:fill="FFFFFF"/>
          <w:lang w:val="en-US" w:eastAsia="zh-CN"/>
        </w:rPr>
        <w:t>.</w:t>
      </w:r>
      <w:r>
        <w:rPr>
          <w:rFonts w:hint="eastAsia" w:ascii="仿宋_GB2312" w:hAnsi="仿宋_GB2312" w:eastAsia="仿宋_GB2312" w:cs="仿宋_GB2312"/>
          <w:b w:val="0"/>
          <w:bCs w:val="0"/>
          <w:color w:val="333333"/>
          <w:sz w:val="32"/>
          <w:szCs w:val="32"/>
          <w:shd w:val="clear" w:color="auto" w:fill="FFFFFF"/>
        </w:rPr>
        <w:t>项目支出：指在基本支出之外为完成特定的行政任务或事业发展目标所发生的支出。</w:t>
      </w:r>
    </w:p>
    <w:p>
      <w:pPr>
        <w:adjustRightInd w:val="0"/>
        <w:snapToGrid w:val="0"/>
        <w:spacing w:line="360" w:lineRule="auto"/>
        <w:ind w:firstLine="640"/>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4</w:t>
      </w:r>
      <w:r>
        <w:rPr>
          <w:rFonts w:hint="eastAsia" w:ascii="仿宋_GB2312" w:hAnsi="仿宋_GB2312" w:eastAsia="仿宋_GB2312" w:cs="仿宋_GB2312"/>
          <w:b w:val="0"/>
          <w:bCs w:val="0"/>
          <w:color w:val="333333"/>
          <w:sz w:val="32"/>
          <w:szCs w:val="32"/>
          <w:shd w:val="clear" w:color="auto" w:fill="FFFFFF"/>
          <w:lang w:val="en-US" w:eastAsia="zh-CN"/>
        </w:rPr>
        <w:t>.</w:t>
      </w:r>
      <w:r>
        <w:rPr>
          <w:rFonts w:hint="eastAsia" w:ascii="仿宋_GB2312" w:hAnsi="仿宋_GB2312" w:eastAsia="仿宋_GB2312" w:cs="仿宋_GB2312"/>
          <w:b w:val="0"/>
          <w:bCs w:val="0"/>
          <w:color w:val="333333"/>
          <w:sz w:val="32"/>
          <w:szCs w:val="32"/>
          <w:shd w:val="clear" w:color="auto" w:fill="FFFFFF"/>
        </w:rPr>
        <w:t>“三公”经费：指用一般公共预算财政拨款安排的因公出国（境）费、公务用车购置及运行费和公务接待费。其中，因公出国（境）费指单位公务出国（境）的</w:t>
      </w:r>
      <w:r>
        <w:rPr>
          <w:rFonts w:hint="eastAsia" w:ascii="仿宋_GB2312" w:hAnsi="仿宋_GB2312" w:eastAsia="仿宋_GB2312" w:cs="仿宋_GB2312"/>
          <w:b w:val="0"/>
          <w:bCs w:val="0"/>
          <w:color w:val="333333"/>
          <w:sz w:val="32"/>
          <w:szCs w:val="32"/>
          <w:shd w:val="clear" w:color="auto" w:fill="FFFFFF"/>
          <w:lang w:eastAsia="zh-CN"/>
        </w:rPr>
        <w:t>国际旅费、国外城市间交通费、</w:t>
      </w:r>
      <w:r>
        <w:rPr>
          <w:rFonts w:hint="eastAsia" w:ascii="仿宋_GB2312" w:hAnsi="仿宋_GB2312" w:eastAsia="仿宋_GB2312" w:cs="仿宋_GB2312"/>
          <w:b w:val="0"/>
          <w:bCs w:val="0"/>
          <w:color w:val="333333"/>
          <w:sz w:val="32"/>
          <w:szCs w:val="32"/>
          <w:shd w:val="clear" w:color="auto" w:fill="FFFFFF"/>
        </w:rPr>
        <w:t>住宿费、伙食费、培训费</w:t>
      </w:r>
      <w:r>
        <w:rPr>
          <w:rFonts w:hint="eastAsia" w:ascii="仿宋_GB2312" w:hAnsi="仿宋_GB2312" w:eastAsia="仿宋_GB2312" w:cs="仿宋_GB2312"/>
          <w:b w:val="0"/>
          <w:bCs w:val="0"/>
          <w:color w:val="333333"/>
          <w:sz w:val="32"/>
          <w:szCs w:val="32"/>
          <w:shd w:val="clear" w:color="auto" w:fill="FFFFFF"/>
          <w:lang w:eastAsia="zh-CN"/>
        </w:rPr>
        <w:t>、公杂费</w:t>
      </w:r>
      <w:r>
        <w:rPr>
          <w:rFonts w:hint="eastAsia" w:ascii="仿宋_GB2312" w:hAnsi="仿宋_GB2312" w:eastAsia="仿宋_GB2312" w:cs="仿宋_GB2312"/>
          <w:b w:val="0"/>
          <w:bCs w:val="0"/>
          <w:color w:val="333333"/>
          <w:sz w:val="32"/>
          <w:szCs w:val="32"/>
          <w:shd w:val="clear" w:color="auto" w:fill="FFFFFF"/>
        </w:rPr>
        <w:t>等支出；公务用车购置及运行费指单位公务用车购置费及租用费、燃料费、维修费、过路过桥费、保险费、安全奖励费用等支出；公务接待费指单位按规定开支的各类公务接待（含外宾接待）支出。</w:t>
      </w:r>
    </w:p>
    <w:p>
      <w:pPr>
        <w:shd w:val="solid" w:color="FFFFFF" w:fill="auto"/>
        <w:autoSpaceDN w:val="0"/>
        <w:spacing w:line="375" w:lineRule="atLeast"/>
        <w:ind w:firstLine="560" w:firstLineChars="200"/>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lang w:val="en-US" w:eastAsia="zh-CN"/>
        </w:rPr>
        <w:t>5.</w:t>
      </w:r>
      <w:r>
        <w:rPr>
          <w:rFonts w:hint="eastAsia" w:ascii="仿宋_GB2312" w:hAnsi="仿宋_GB2312" w:eastAsia="仿宋_GB2312" w:cs="仿宋_GB2312"/>
          <w:b w:val="0"/>
          <w:bCs w:val="0"/>
          <w:color w:val="333333"/>
          <w:sz w:val="32"/>
          <w:szCs w:val="32"/>
          <w:shd w:val="clear" w:color="auto" w:fill="FFFFFF"/>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numPr>
          <w:numId w:val="0"/>
        </w:numPr>
        <w:jc w:val="both"/>
        <w:rPr>
          <w:rFonts w:hint="eastAsia" w:ascii="仿宋_GB2312" w:hAnsi="仿宋_GB2312" w:eastAsia="仿宋_GB2312" w:cs="仿宋_GB2312"/>
          <w:b w:val="0"/>
          <w:bCs w:val="0"/>
          <w:sz w:val="32"/>
          <w:szCs w:val="32"/>
          <w:lang w:eastAsia="zh-CN"/>
        </w:rPr>
      </w:pPr>
    </w:p>
    <w:p>
      <w:pPr>
        <w:widowControl w:val="0"/>
        <w:numPr>
          <w:numId w:val="0"/>
        </w:numPr>
        <w:jc w:val="both"/>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2"/>
      <w:numFmt w:val="decimal"/>
      <w:suff w:val="nothing"/>
      <w:lvlText w:val="%1、"/>
      <w:lvlJc w:val="left"/>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tyle>
  <w:style w:type="paragraph" w:styleId="2">
    <w:name w:val="Body Text"/>
    <w:basedOn w:val="1"/>
    <w:pPr>
      <w:autoSpaceDE w:val="0"/>
      <w:autoSpaceDN w:val="0"/>
      <w:adjustRightInd w:val="0"/>
      <w:ind w:left="761"/>
      <w:jc w:val="left"/>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2018-08-21T10:53:00Z</dcterms:created>
  <dc:creator>老城区文化局</dc:creator>
  <dcterms:modified xsi:type="dcterms:W3CDTF">2019-02-01T16:40:33Z</dcterms:modified>
  <dc:title>老城区文化局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